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spacing w:line="578" w:lineRule="exact"/>
        <w:jc w:val="center"/>
        <w:rPr>
          <w:rFonts w:hint="eastAsia" w:ascii="黑体" w:hAnsi="ˎ̥" w:eastAsia="黑体"/>
          <w:sz w:val="44"/>
          <w:szCs w:val="44"/>
          <w:lang w:eastAsia="zh-CN"/>
        </w:rPr>
      </w:pPr>
      <w:r>
        <w:rPr>
          <w:rFonts w:hint="eastAsia" w:ascii="黑体" w:hAnsi="ˎ̥" w:eastAsia="黑体"/>
          <w:sz w:val="44"/>
          <w:szCs w:val="44"/>
        </w:rPr>
        <w:t>海南省</w:t>
      </w:r>
      <w:r>
        <w:rPr>
          <w:rFonts w:hint="eastAsia" w:ascii="黑体" w:hAnsi="ˎ̥" w:eastAsia="黑体"/>
          <w:sz w:val="44"/>
          <w:szCs w:val="44"/>
          <w:lang w:eastAsia="zh-CN"/>
        </w:rPr>
        <w:t>三亚市城郊人民法院</w:t>
      </w:r>
    </w:p>
    <w:p>
      <w:pPr>
        <w:spacing w:line="578" w:lineRule="exact"/>
        <w:jc w:val="center"/>
        <w:rPr>
          <w:rFonts w:hint="eastAsia" w:ascii="黑体" w:hAnsi="ˎ̥" w:eastAsia="黑体"/>
          <w:sz w:val="44"/>
          <w:szCs w:val="44"/>
        </w:rPr>
      </w:pPr>
      <w:r>
        <w:rPr>
          <w:rFonts w:hint="eastAsia" w:ascii="黑体" w:hAnsi="ˎ̥" w:eastAsia="黑体"/>
          <w:sz w:val="44"/>
          <w:szCs w:val="44"/>
        </w:rPr>
        <w:t>202</w:t>
      </w:r>
      <w:r>
        <w:rPr>
          <w:rFonts w:ascii="黑体" w:hAnsi="ˎ̥" w:eastAsia="黑体"/>
          <w:sz w:val="44"/>
          <w:szCs w:val="44"/>
        </w:rPr>
        <w:t>3</w:t>
      </w:r>
      <w:r>
        <w:rPr>
          <w:rFonts w:hint="eastAsia" w:ascii="黑体" w:hAnsi="ˎ̥" w:eastAsia="黑体"/>
          <w:sz w:val="44"/>
          <w:szCs w:val="44"/>
        </w:rPr>
        <w:t>年度部门决算公开</w:t>
      </w:r>
      <w:r>
        <w:rPr>
          <w:rFonts w:ascii="黑体" w:hAnsi="ˎ̥" w:eastAsia="黑体"/>
          <w:sz w:val="44"/>
          <w:szCs w:val="44"/>
        </w:rPr>
        <w:t>报告</w:t>
      </w:r>
    </w:p>
    <w:p>
      <w:pPr>
        <w:spacing w:line="578" w:lineRule="exact"/>
        <w:jc w:val="center"/>
        <w:rPr>
          <w:rFonts w:hint="eastAsia" w:ascii="黑体" w:hAnsi="ˎ̥" w:eastAsia="黑体"/>
          <w:b/>
          <w:sz w:val="32"/>
          <w:szCs w:val="32"/>
        </w:rPr>
      </w:pPr>
    </w:p>
    <w:p>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9"/>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pPr>
        <w:pStyle w:val="1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0"/>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9"/>
        <w:tabs>
          <w:tab w:val="right" w:leader="dot" w:pos="8306"/>
        </w:tabs>
        <w:spacing w:line="578" w:lineRule="exact"/>
        <w:rPr>
          <w:rFonts w:hint="eastAsia" w:eastAsia="宋体"/>
          <w:sz w:val="32"/>
          <w:szCs w:val="32"/>
          <w:lang w:eastAsia="zh-CN"/>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第二部分  202</w:t>
      </w:r>
      <w:r>
        <w:rPr>
          <w:rFonts w:ascii="黑体" w:hAnsi="ˎ̥" w:eastAsia="黑体"/>
          <w:sz w:val="32"/>
          <w:szCs w:val="32"/>
        </w:rPr>
        <w:t>3</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lang w:val="en-US" w:eastAsia="zh-CN"/>
        </w:rPr>
        <w:t>3</w:t>
      </w:r>
    </w:p>
    <w:p>
      <w:pPr>
        <w:pStyle w:val="9"/>
        <w:tabs>
          <w:tab w:val="right" w:leader="dot" w:pos="8306"/>
        </w:tabs>
        <w:spacing w:line="578" w:lineRule="exact"/>
        <w:rPr>
          <w:rFonts w:hint="eastAsia" w:eastAsia="宋体"/>
          <w:sz w:val="32"/>
          <w:szCs w:val="32"/>
          <w:lang w:eastAsia="zh-CN"/>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eastAsia" w:ascii="黑体" w:hAnsi="ˎ̥" w:eastAsia="黑体"/>
          <w:sz w:val="32"/>
          <w:szCs w:val="32"/>
        </w:rPr>
        <w:t>202</w:t>
      </w:r>
      <w:r>
        <w:rPr>
          <w:rFonts w:ascii="黑体" w:hAnsi="ˎ̥" w:eastAsia="黑体"/>
          <w:sz w:val="32"/>
          <w:szCs w:val="32"/>
        </w:rPr>
        <w:t>3</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lang w:val="en-US" w:eastAsia="zh-CN"/>
        </w:rPr>
        <w:t>4</w:t>
      </w:r>
    </w:p>
    <w:p>
      <w:pPr>
        <w:pStyle w:val="10"/>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10"/>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pPr>
        <w:pStyle w:val="10"/>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pPr>
        <w:pStyle w:val="10"/>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pPr>
        <w:pStyle w:val="10"/>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10"/>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lang w:val="en-US" w:eastAsia="zh-CN"/>
        </w:rPr>
        <w:t>9</w:t>
      </w:r>
    </w:p>
    <w:p>
      <w:pPr>
        <w:pStyle w:val="10"/>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10</w:t>
      </w:r>
    </w:p>
    <w:p>
      <w:pPr>
        <w:pStyle w:val="10"/>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10</w:t>
      </w:r>
    </w:p>
    <w:p>
      <w:pPr>
        <w:pStyle w:val="10"/>
        <w:tabs>
          <w:tab w:val="right" w:leader="dot" w:pos="8306"/>
        </w:tabs>
        <w:spacing w:line="578" w:lineRule="exact"/>
        <w:ind w:leftChars="0"/>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11</w:t>
      </w:r>
    </w:p>
    <w:p>
      <w:pPr>
        <w:pStyle w:val="10"/>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w:t>
      </w:r>
      <w:r>
        <w:rPr>
          <w:rFonts w:hint="eastAsia" w:ascii="仿宋" w:hAnsi="仿宋" w:eastAsia="仿宋" w:cs="仿宋"/>
          <w:sz w:val="32"/>
          <w:szCs w:val="32"/>
          <w:lang w:val="en-US" w:eastAsia="zh-CN"/>
        </w:rPr>
        <w:t>2</w:t>
      </w:r>
    </w:p>
    <w:p>
      <w:pPr>
        <w:pStyle w:val="10"/>
        <w:tabs>
          <w:tab w:val="right" w:leader="dot" w:pos="8306"/>
        </w:tabs>
        <w:spacing w:line="578" w:lineRule="exact"/>
        <w:ind w:leftChars="0"/>
        <w:rPr>
          <w:rFonts w:hint="default" w:ascii="仿宋" w:hAnsi="仿宋" w:eastAsia="仿宋" w:cs="仿宋"/>
          <w:sz w:val="32"/>
          <w:szCs w:val="32"/>
          <w:lang w:val="en-US" w:eastAsia="zh-CN"/>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lang w:val="en-US" w:eastAsia="zh-CN"/>
        </w:rPr>
        <w:t>21</w:t>
      </w:r>
    </w:p>
    <w:p>
      <w:pPr>
        <w:pStyle w:val="9"/>
        <w:tabs>
          <w:tab w:val="right" w:leader="dot" w:pos="8306"/>
        </w:tabs>
        <w:spacing w:line="578" w:lineRule="exact"/>
        <w:rPr>
          <w:rFonts w:hint="default" w:ascii="黑体" w:hAnsi="ˎ̥" w:eastAsia="宋体"/>
          <w:b/>
          <w:sz w:val="32"/>
          <w:szCs w:val="32"/>
          <w:lang w:val="en-US" w:eastAsia="zh-CN"/>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18" w:name="_GoBack"/>
      <w:bookmarkEnd w:id="118"/>
      <w:r>
        <w:rPr>
          <w:sz w:val="32"/>
          <w:szCs w:val="32"/>
        </w:rPr>
        <w:fldChar w:fldCharType="end"/>
      </w:r>
      <w:bookmarkEnd w:id="0"/>
      <w:r>
        <w:rPr>
          <w:rFonts w:hint="eastAsia"/>
          <w:sz w:val="32"/>
          <w:szCs w:val="32"/>
          <w:lang w:val="en-US" w:eastAsia="zh-CN"/>
        </w:rPr>
        <w:t>22</w:t>
      </w:r>
    </w:p>
    <w:p>
      <w:pPr>
        <w:spacing w:line="578" w:lineRule="exact"/>
        <w:jc w:val="center"/>
        <w:rPr>
          <w:rFonts w:hint="eastAsia" w:ascii="黑体" w:hAnsi="ˎ̥" w:eastAsia="黑体"/>
          <w:sz w:val="32"/>
          <w:szCs w:val="32"/>
        </w:rPr>
      </w:pPr>
      <w:bookmarkStart w:id="1" w:name="_Toc32433_WPSOffice_Level1"/>
      <w:bookmarkStart w:id="2" w:name="_Toc10049_WPSOffice_Level1"/>
      <w:bookmarkStart w:id="3" w:name="_Toc1704_WPSOffice_Level1"/>
      <w:bookmarkStart w:id="4" w:name="_Toc23465_WPSOffice_Level1"/>
      <w:bookmarkStart w:id="5" w:name="_Toc22941_WPSOffice_Level1"/>
      <w:bookmarkStart w:id="6" w:name="_Toc10720_WPSOffice_Level1"/>
      <w:bookmarkStart w:id="7" w:name="_Toc24238_WPSOffice_Level2"/>
      <w:bookmarkStart w:id="8" w:name="_Toc32622_WPSOffice_Level2"/>
      <w:bookmarkStart w:id="9" w:name="_Toc20205_WPSOffice_Level2"/>
      <w:bookmarkStart w:id="10" w:name="_Toc14159_WPSOffice_Level2"/>
      <w:bookmarkStart w:id="11" w:name="_Toc20274_WPSOffice_Level2"/>
      <w:bookmarkStart w:id="12" w:name="_Toc26580_WPSOffice_Level2"/>
      <w:r>
        <w:rPr>
          <w:rFonts w:hint="eastAsia" w:ascii="黑体" w:hAnsi="ˎ̥" w:eastAsia="黑体"/>
          <w:sz w:val="32"/>
          <w:szCs w:val="32"/>
        </w:rPr>
        <w:br w:type="page"/>
      </w:r>
    </w:p>
    <w:p>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1"/>
      <w:bookmarkEnd w:id="2"/>
      <w:bookmarkEnd w:id="3"/>
      <w:bookmarkEnd w:id="4"/>
      <w:bookmarkEnd w:id="5"/>
      <w:bookmarkEnd w:id="6"/>
      <w:r>
        <w:rPr>
          <w:rFonts w:hint="eastAsia" w:ascii="黑体" w:hAnsi="ˎ̥" w:eastAsia="黑体"/>
          <w:sz w:val="32"/>
          <w:szCs w:val="32"/>
        </w:rPr>
        <w:t>基本情况</w:t>
      </w:r>
    </w:p>
    <w:p>
      <w:pPr>
        <w:spacing w:line="578" w:lineRule="exact"/>
        <w:ind w:firstLine="640" w:firstLineChars="200"/>
        <w:rPr>
          <w:rFonts w:hint="eastAsia" w:ascii="楷体" w:hAnsi="楷体" w:eastAsia="楷体" w:cs="楷体"/>
          <w:sz w:val="32"/>
          <w:szCs w:val="32"/>
        </w:rPr>
      </w:pPr>
    </w:p>
    <w:p>
      <w:pPr>
        <w:numPr>
          <w:ilvl w:val="0"/>
          <w:numId w:val="2"/>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7"/>
      <w:r>
        <w:rPr>
          <w:rFonts w:hint="eastAsia" w:ascii="黑体" w:hAnsi="黑体" w:eastAsia="黑体" w:cs="黑体"/>
          <w:sz w:val="32"/>
          <w:szCs w:val="32"/>
        </w:rPr>
        <w:t>（单位）职责</w:t>
      </w:r>
      <w:bookmarkEnd w:id="8"/>
      <w:bookmarkEnd w:id="9"/>
      <w:bookmarkEnd w:id="10"/>
      <w:bookmarkEnd w:id="11"/>
      <w:bookmarkEnd w:id="12"/>
    </w:p>
    <w:p>
      <w:pPr>
        <w:ind w:firstLine="640" w:firstLineChars="200"/>
        <w:rPr>
          <w:rFonts w:hint="eastAsia" w:ascii="仿宋_GB2312" w:hAnsi="ˎ̥" w:eastAsia="仿宋_GB2312"/>
          <w:sz w:val="32"/>
          <w:szCs w:val="32"/>
        </w:rPr>
      </w:pPr>
      <w:r>
        <w:rPr>
          <w:rFonts w:hint="eastAsia" w:ascii="仿宋_GB2312" w:hAnsi="ˎ̥" w:eastAsia="仿宋_GB2312"/>
          <w:sz w:val="32"/>
          <w:szCs w:val="32"/>
        </w:rPr>
        <w:t>（一）依法审判法律规定由基层人民法院管辖的第一审案件。</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（二）依法审判三亚市中级人民法院交办或指令的刑事、民事、行政等案件。</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（三）审理不服本院发生法律效力的判决、裁定的各类申诉和申请再审案件，对其中确有错误的判决、裁定进行再审。</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（四）执行本院已发生法律效力的判决、裁定，执行国家行政机关依法申请执行又属于本院执行的案件和外省、市同级法院委托执行的案件。</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（五）领导、管理和指导本院基层人民法庭的审判工作。</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（六）负责本院调查研究工作，对审判工作中的法律政策及疑难问题，提出解决问题的办法和意见。</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（七）对地方性法规、政府规章等草案提出意见;针对案件审理中发现的问题提出司法建议。</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（八）负责本级法院的思想政治、教育培训工作;按照权限管理法官、执行员、书记员、司法警察及司法行政人员。</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（九）负责本院的司法行政工作，依照职权管理本院的有关经费和物资装备。</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（十）结合业务工作，开展法制宣传，教育公民忠于社会主义祖国、自觉遵守宪法、法律和社会公德。</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（十一）负责本院的纪检监察工作。</w:t>
      </w:r>
    </w:p>
    <w:p>
      <w:pPr>
        <w:ind w:firstLine="640" w:firstLineChars="200"/>
        <w:rPr>
          <w:rFonts w:hint="eastAsia" w:ascii="黑体" w:hAnsi="黑体" w:eastAsia="黑体" w:cs="黑体"/>
          <w:color w:val="000000"/>
          <w:sz w:val="32"/>
          <w:szCs w:val="32"/>
          <w:highlight w:val="none"/>
        </w:rPr>
      </w:pPr>
      <w:r>
        <w:rPr>
          <w:rFonts w:hint="eastAsia" w:ascii="仿宋_GB2312" w:hAnsi="ˎ̥" w:eastAsia="仿宋_GB2312"/>
          <w:sz w:val="32"/>
          <w:szCs w:val="32"/>
        </w:rPr>
        <w:t>（十二）承办市委、市人大和上级人民法院交办的其它工作。</w:t>
      </w:r>
    </w:p>
    <w:p>
      <w:pPr>
        <w:numPr>
          <w:numId w:val="0"/>
        </w:numPr>
        <w:spacing w:line="578" w:lineRule="exact"/>
        <w:rPr>
          <w:rFonts w:hint="eastAsia" w:ascii="黑体" w:hAnsi="黑体" w:eastAsia="黑体" w:cs="黑体"/>
          <w:sz w:val="32"/>
          <w:szCs w:val="32"/>
        </w:rPr>
      </w:pPr>
    </w:p>
    <w:p>
      <w:pPr>
        <w:spacing w:line="578" w:lineRule="exact"/>
        <w:ind w:firstLine="640" w:firstLineChars="200"/>
        <w:rPr>
          <w:rFonts w:hint="eastAsia" w:ascii="黑体" w:hAnsi="黑体" w:eastAsia="黑体" w:cs="黑体"/>
          <w:sz w:val="32"/>
          <w:szCs w:val="32"/>
        </w:rPr>
      </w:pPr>
      <w:bookmarkStart w:id="13" w:name="_Toc6572_WPSOffice_Level2"/>
      <w:bookmarkStart w:id="14" w:name="_Toc24059_WPSOffice_Level2"/>
      <w:bookmarkStart w:id="15" w:name="_Toc17796_WPSOffice_Level2"/>
      <w:bookmarkStart w:id="16" w:name="_Toc24474_WPSOffice_Level2"/>
      <w:bookmarkStart w:id="17" w:name="_Toc4833_WPSOffice_Level2"/>
      <w:r>
        <w:rPr>
          <w:rFonts w:hint="eastAsia" w:ascii="黑体" w:hAnsi="黑体" w:eastAsia="黑体" w:cs="黑体"/>
          <w:sz w:val="32"/>
          <w:szCs w:val="32"/>
        </w:rPr>
        <w:t>二、机构设置</w:t>
      </w:r>
      <w:bookmarkEnd w:id="13"/>
      <w:bookmarkEnd w:id="14"/>
      <w:bookmarkEnd w:id="15"/>
      <w:bookmarkEnd w:id="16"/>
      <w:bookmarkEnd w:id="17"/>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纳入三亚市城郊人民法院部门</w:t>
      </w:r>
      <w:r>
        <w:rPr>
          <w:rFonts w:hint="eastAsia" w:ascii="仿宋_GB2312" w:hAnsi="ˎ̥" w:eastAsia="仿宋_GB2312"/>
          <w:sz w:val="32"/>
          <w:szCs w:val="32"/>
          <w:lang w:eastAsia="zh-CN"/>
        </w:rPr>
        <w:t>2022年</w:t>
      </w:r>
      <w:r>
        <w:rPr>
          <w:rFonts w:hint="eastAsia" w:ascii="仿宋_GB2312" w:hAnsi="ˎ̥" w:eastAsia="仿宋_GB2312"/>
          <w:sz w:val="32"/>
          <w:szCs w:val="32"/>
        </w:rPr>
        <w:t>度部门决算编制范围的的只有部门本级1家预算单位：内设有办公室、政治部、机关党委、立案庭、刑事审判庭、民事审判庭、行政审判庭、执行局、旅游审判庭、审判管理办公室、吉阳人民法庭、天涯人民法庭、崖城人民法庭、海棠湾人民法庭和司法警察大队15个部门。</w:t>
      </w:r>
    </w:p>
    <w:p>
      <w:pPr>
        <w:spacing w:line="578" w:lineRule="exact"/>
        <w:jc w:val="center"/>
        <w:rPr>
          <w:rFonts w:hint="eastAsia" w:ascii="黑体" w:hAnsi="ˎ̥" w:eastAsia="黑体"/>
          <w:sz w:val="32"/>
          <w:szCs w:val="32"/>
        </w:rPr>
      </w:pPr>
      <w:bookmarkStart w:id="18" w:name="_Toc6234_WPSOffice_Level1"/>
      <w:bookmarkStart w:id="19" w:name="_Toc8164_WPSOffice_Level1"/>
      <w:bookmarkStart w:id="20" w:name="_Toc30451_WPSOffice_Level1"/>
      <w:bookmarkStart w:id="21" w:name="_Toc30690_WPSOffice_Level1"/>
      <w:bookmarkStart w:id="22" w:name="_Toc28253_WPSOffice_Level1"/>
      <w:bookmarkStart w:id="23" w:name="_Toc15521_WPSOffice_Level1"/>
      <w:bookmarkStart w:id="24" w:name="_Toc6211_WPSOffice_Level2"/>
      <w:bookmarkStart w:id="25" w:name="_Toc32695_WPSOffice_Level2"/>
      <w:bookmarkStart w:id="26" w:name="_Toc11518_WPSOffice_Level2"/>
      <w:bookmarkStart w:id="27" w:name="_Toc4029_WPSOffice_Level2"/>
      <w:bookmarkStart w:id="28" w:name="_Toc8867_WPSOffice_Level2"/>
      <w:bookmarkStart w:id="29" w:name="_Toc32472_WPSOffice_Level2"/>
    </w:p>
    <w:p>
      <w:pPr>
        <w:spacing w:line="578" w:lineRule="exact"/>
        <w:jc w:val="center"/>
        <w:rPr>
          <w:rFonts w:hint="eastAsia" w:ascii="黑体" w:hAnsi="ˎ̥" w:eastAsia="黑体"/>
          <w:sz w:val="32"/>
          <w:szCs w:val="32"/>
        </w:rPr>
      </w:pPr>
      <w:r>
        <w:rPr>
          <w:rFonts w:hint="eastAsia" w:ascii="黑体" w:hAnsi="ˎ̥" w:eastAsia="黑体"/>
          <w:sz w:val="32"/>
          <w:szCs w:val="32"/>
        </w:rPr>
        <w:t>第二部分  202</w:t>
      </w:r>
      <w:r>
        <w:rPr>
          <w:rFonts w:ascii="黑体" w:hAnsi="ˎ̥" w:eastAsia="黑体"/>
          <w:sz w:val="32"/>
          <w:szCs w:val="32"/>
        </w:rPr>
        <w:t>3</w:t>
      </w:r>
      <w:r>
        <w:rPr>
          <w:rFonts w:hint="eastAsia" w:ascii="黑体" w:hAnsi="ˎ̥" w:eastAsia="黑体"/>
          <w:sz w:val="32"/>
          <w:szCs w:val="32"/>
        </w:rPr>
        <w:t>年度部门决算公开报表</w:t>
      </w:r>
      <w:bookmarkEnd w:id="18"/>
      <w:bookmarkEnd w:id="19"/>
      <w:bookmarkEnd w:id="20"/>
      <w:bookmarkEnd w:id="21"/>
      <w:bookmarkEnd w:id="22"/>
      <w:bookmarkEnd w:id="23"/>
    </w:p>
    <w:p>
      <w:pPr>
        <w:spacing w:line="578" w:lineRule="exact"/>
        <w:ind w:firstLine="645"/>
        <w:rPr>
          <w:rFonts w:hint="eastAsia" w:ascii="黑体" w:hAnsi="黑体" w:eastAsia="黑体" w:cs="黑体"/>
          <w:sz w:val="32"/>
          <w:szCs w:val="32"/>
        </w:rPr>
      </w:pPr>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4"/>
      <w:bookmarkEnd w:id="25"/>
      <w:bookmarkEnd w:id="26"/>
      <w:bookmarkEnd w:id="27"/>
      <w:bookmarkEnd w:id="28"/>
      <w:bookmarkEnd w:id="29"/>
    </w:p>
    <w:p>
      <w:pPr>
        <w:spacing w:line="578" w:lineRule="exact"/>
        <w:ind w:firstLine="645"/>
        <w:rPr>
          <w:rFonts w:hint="eastAsia" w:ascii="黑体" w:hAnsi="黑体" w:eastAsia="黑体" w:cs="黑体"/>
          <w:sz w:val="32"/>
          <w:szCs w:val="32"/>
        </w:rPr>
      </w:pPr>
      <w:bookmarkStart w:id="30" w:name="_Toc25608_WPSOffice_Level2"/>
      <w:bookmarkStart w:id="31" w:name="_Toc23139_WPSOffice_Level2"/>
      <w:bookmarkStart w:id="32" w:name="_Toc14349_WPSOffice_Level2"/>
      <w:bookmarkStart w:id="33" w:name="_Toc28622_WPSOffice_Level2"/>
      <w:bookmarkStart w:id="34" w:name="_Toc26621_WPSOffice_Level2"/>
      <w:bookmarkStart w:id="35" w:name="_Toc30334_WPSOffice_Level2"/>
      <w:r>
        <w:rPr>
          <w:rFonts w:hint="eastAsia" w:ascii="黑体" w:hAnsi="黑体" w:eastAsia="黑体" w:cs="黑体"/>
          <w:sz w:val="32"/>
          <w:szCs w:val="32"/>
        </w:rPr>
        <w:t>二、收入决算公开表</w:t>
      </w:r>
      <w:bookmarkEnd w:id="30"/>
      <w:bookmarkEnd w:id="31"/>
      <w:bookmarkEnd w:id="32"/>
      <w:bookmarkEnd w:id="33"/>
      <w:bookmarkEnd w:id="34"/>
      <w:bookmarkEnd w:id="35"/>
      <w:bookmarkStart w:id="36" w:name="_Toc5489_WPSOffice_Level2"/>
      <w:bookmarkStart w:id="37" w:name="_Toc17858_WPSOffice_Level2"/>
      <w:bookmarkStart w:id="38" w:name="_Toc13854_WPSOffice_Level2"/>
      <w:bookmarkStart w:id="39" w:name="_Toc14658_WPSOffice_Level2"/>
      <w:bookmarkStart w:id="40" w:name="_Toc17626_WPSOffice_Level2"/>
      <w:bookmarkStart w:id="41" w:name="_Toc3262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6"/>
      <w:bookmarkEnd w:id="37"/>
      <w:bookmarkEnd w:id="38"/>
      <w:bookmarkEnd w:id="39"/>
      <w:bookmarkEnd w:id="40"/>
      <w:bookmarkEnd w:id="41"/>
      <w:bookmarkStart w:id="42" w:name="_Toc7988_WPSOffice_Level2"/>
      <w:bookmarkStart w:id="43" w:name="_Toc21415_WPSOffice_Level2"/>
      <w:bookmarkStart w:id="44" w:name="_Toc4265_WPSOffice_Level2"/>
      <w:bookmarkStart w:id="45" w:name="_Toc13701_WPSOffice_Level2"/>
      <w:bookmarkStart w:id="46" w:name="_Toc23591_WPSOffice_Level2"/>
      <w:bookmarkStart w:id="47" w:name="_Toc23493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2"/>
      <w:bookmarkEnd w:id="43"/>
      <w:bookmarkEnd w:id="44"/>
      <w:bookmarkEnd w:id="45"/>
      <w:bookmarkEnd w:id="46"/>
      <w:bookmarkEnd w:id="47"/>
    </w:p>
    <w:p>
      <w:pPr>
        <w:spacing w:line="578" w:lineRule="exact"/>
        <w:ind w:firstLine="645"/>
        <w:rPr>
          <w:rFonts w:hint="eastAsia" w:ascii="黑体" w:hAnsi="黑体" w:eastAsia="黑体" w:cs="黑体"/>
          <w:sz w:val="32"/>
          <w:szCs w:val="32"/>
        </w:rPr>
      </w:pPr>
      <w:bookmarkStart w:id="48" w:name="_Toc22783_WPSOffice_Level2"/>
      <w:bookmarkStart w:id="49" w:name="_Toc7879_WPSOffice_Level2"/>
      <w:bookmarkStart w:id="50" w:name="_Toc23829_WPSOffice_Level2"/>
      <w:bookmarkStart w:id="51" w:name="_Toc25166_WPSOffice_Level2"/>
      <w:bookmarkStart w:id="52" w:name="_Toc13516_WPSOffice_Level2"/>
      <w:bookmarkStart w:id="53" w:name="_Toc2158_WPSOffice_Level2"/>
      <w:r>
        <w:rPr>
          <w:rFonts w:hint="eastAsia" w:ascii="黑体" w:hAnsi="黑体" w:eastAsia="黑体" w:cs="黑体"/>
          <w:sz w:val="32"/>
          <w:szCs w:val="32"/>
        </w:rPr>
        <w:t>五、一般公共预算财政拨款收入支出决算</w:t>
      </w:r>
      <w:bookmarkEnd w:id="48"/>
      <w:bookmarkEnd w:id="49"/>
      <w:bookmarkEnd w:id="50"/>
      <w:bookmarkEnd w:id="51"/>
      <w:r>
        <w:rPr>
          <w:rFonts w:hint="eastAsia" w:ascii="黑体" w:hAnsi="黑体" w:eastAsia="黑体" w:cs="黑体"/>
          <w:sz w:val="32"/>
          <w:szCs w:val="32"/>
        </w:rPr>
        <w:t>公开表</w:t>
      </w:r>
      <w:bookmarkEnd w:id="52"/>
      <w:bookmarkEnd w:id="53"/>
      <w:bookmarkStart w:id="54" w:name="_Toc5343_WPSOffice_Level2"/>
      <w:bookmarkStart w:id="55" w:name="_Toc8373_WPSOffice_Level2"/>
      <w:bookmarkStart w:id="56" w:name="_Toc17833_WPSOffice_Level2"/>
      <w:bookmarkStart w:id="57" w:name="_Toc2632_WPSOffice_Level2"/>
      <w:bookmarkStart w:id="58" w:name="_Toc17283_WPSOffice_Level2"/>
      <w:bookmarkStart w:id="59" w:name="_Toc25362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4"/>
      <w:bookmarkEnd w:id="55"/>
      <w:bookmarkEnd w:id="56"/>
      <w:bookmarkEnd w:id="57"/>
      <w:bookmarkEnd w:id="58"/>
      <w:bookmarkEnd w:id="59"/>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bookmarkStart w:id="60" w:name="_Toc13345_WPSOffice_Level2"/>
      <w:bookmarkStart w:id="61" w:name="_Toc11799_WPSOffice_Level2"/>
      <w:bookmarkStart w:id="62" w:name="_Toc6020_WPSOffice_Level2"/>
      <w:bookmarkStart w:id="63" w:name="_Toc5594_WPSOffice_Level2"/>
      <w:bookmarkStart w:id="64" w:name="_Toc21310_WPSOffice_Level2"/>
      <w:bookmarkStart w:id="65" w:name="_Toc1533_WPSOffice_Level2"/>
      <w:r>
        <w:rPr>
          <w:rFonts w:hint="eastAsia" w:ascii="黑体" w:hAnsi="黑体" w:eastAsia="黑体" w:cs="黑体"/>
          <w:sz w:val="32"/>
          <w:szCs w:val="32"/>
        </w:rPr>
        <w:t>七、政府性基金预算财政拨款收入支出决算</w:t>
      </w:r>
      <w:bookmarkEnd w:id="60"/>
      <w:bookmarkEnd w:id="61"/>
      <w:bookmarkEnd w:id="62"/>
      <w:bookmarkEnd w:id="63"/>
      <w:bookmarkEnd w:id="64"/>
      <w:bookmarkEnd w:id="65"/>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spacing w:line="578" w:lineRule="exact"/>
        <w:ind w:firstLine="640"/>
        <w:rPr>
          <w:rFonts w:hint="eastAsia" w:ascii="黑体" w:hAnsi="黑体" w:eastAsia="黑体" w:cs="黑体"/>
          <w:sz w:val="32"/>
          <w:szCs w:val="32"/>
        </w:rPr>
      </w:pPr>
      <w:bookmarkStart w:id="66" w:name="_Toc9377_WPSOffice_Level2"/>
      <w:bookmarkStart w:id="67" w:name="_Toc29886_WPSOffice_Level2"/>
      <w:bookmarkStart w:id="68" w:name="_Toc19961_WPSOffice_Level2"/>
      <w:bookmarkStart w:id="69" w:name="_Toc1820_WPSOffice_Level2"/>
      <w:r>
        <w:rPr>
          <w:rFonts w:hint="eastAsia" w:ascii="黑体" w:hAnsi="黑体" w:eastAsia="黑体" w:cs="黑体"/>
          <w:sz w:val="32"/>
          <w:szCs w:val="32"/>
        </w:rPr>
        <w:t>九、财政拨款“三公”经费支出决算</w:t>
      </w:r>
      <w:bookmarkEnd w:id="66"/>
      <w:bookmarkEnd w:id="67"/>
      <w:bookmarkEnd w:id="68"/>
      <w:bookmarkEnd w:id="69"/>
      <w:r>
        <w:rPr>
          <w:rFonts w:hint="eastAsia" w:ascii="黑体" w:hAnsi="黑体" w:eastAsia="黑体" w:cs="黑体"/>
          <w:sz w:val="32"/>
          <w:szCs w:val="32"/>
        </w:rPr>
        <w:t>公开表</w:t>
      </w:r>
    </w:p>
    <w:p>
      <w:pPr>
        <w:spacing w:line="578" w:lineRule="exact"/>
        <w:ind w:firstLine="640"/>
        <w:rPr>
          <w:rFonts w:hint="eastAsia" w:ascii="黑体" w:hAnsi="黑体" w:eastAsia="黑体" w:cs="黑体"/>
          <w:sz w:val="32"/>
          <w:szCs w:val="32"/>
        </w:rPr>
      </w:pPr>
      <w:r>
        <w:rPr>
          <w:rFonts w:hint="eastAsia" w:ascii="黑体" w:hAnsi="黑体" w:eastAsia="黑体" w:cs="黑体"/>
          <w:w w:val="96"/>
          <w:sz w:val="32"/>
          <w:szCs w:val="32"/>
        </w:rPr>
        <w:t xml:space="preserve">以上报表见附件1。   </w:t>
      </w:r>
    </w:p>
    <w:p>
      <w:pPr>
        <w:spacing w:line="578" w:lineRule="exact"/>
        <w:rPr>
          <w:rFonts w:hint="eastAsia" w:ascii="黑体" w:hAnsi="黑体" w:eastAsia="黑体" w:cs="黑体"/>
          <w:sz w:val="32"/>
          <w:szCs w:val="32"/>
        </w:rPr>
      </w:pPr>
    </w:p>
    <w:p>
      <w:pPr>
        <w:spacing w:line="578" w:lineRule="exact"/>
        <w:jc w:val="center"/>
        <w:rPr>
          <w:rFonts w:hint="eastAsia" w:ascii="黑体" w:hAnsi="ˎ̥" w:eastAsia="黑体"/>
          <w:sz w:val="32"/>
          <w:szCs w:val="32"/>
        </w:rPr>
      </w:pPr>
      <w:bookmarkStart w:id="70" w:name="_Toc16686_WPSOffice_Level1"/>
      <w:bookmarkStart w:id="71" w:name="_Toc29683_WPSOffice_Level1"/>
      <w:bookmarkStart w:id="72" w:name="_Toc4402_WPSOffice_Level1"/>
      <w:bookmarkStart w:id="73" w:name="_Toc27590_WPSOffice_Level1"/>
      <w:bookmarkStart w:id="74" w:name="_Toc28629_WPSOffice_Level1"/>
      <w:bookmarkStart w:id="75" w:name="_Toc31264_WPSOffice_Level1"/>
      <w:r>
        <w:rPr>
          <w:rFonts w:hint="eastAsia" w:ascii="黑体" w:hAnsi="ˎ̥" w:eastAsia="黑体"/>
          <w:sz w:val="32"/>
          <w:szCs w:val="32"/>
        </w:rPr>
        <w:t>第三部分  202</w:t>
      </w:r>
      <w:r>
        <w:rPr>
          <w:rFonts w:ascii="黑体" w:hAnsi="ˎ̥" w:eastAsia="黑体"/>
          <w:sz w:val="32"/>
          <w:szCs w:val="32"/>
        </w:rPr>
        <w:t>3</w:t>
      </w:r>
      <w:r>
        <w:rPr>
          <w:rFonts w:hint="eastAsia" w:ascii="黑体" w:hAnsi="ˎ̥" w:eastAsia="黑体"/>
          <w:sz w:val="32"/>
          <w:szCs w:val="32"/>
        </w:rPr>
        <w:t>年度部门决算情况说明</w:t>
      </w:r>
      <w:bookmarkEnd w:id="70"/>
      <w:bookmarkEnd w:id="71"/>
      <w:bookmarkEnd w:id="72"/>
      <w:bookmarkEnd w:id="73"/>
      <w:bookmarkEnd w:id="74"/>
      <w:bookmarkEnd w:id="75"/>
    </w:p>
    <w:p>
      <w:pPr>
        <w:spacing w:line="578" w:lineRule="exact"/>
        <w:jc w:val="center"/>
        <w:rPr>
          <w:rFonts w:hint="eastAsia" w:ascii="黑体" w:hAnsi="ˎ̥" w:eastAsia="黑体"/>
          <w:sz w:val="32"/>
          <w:szCs w:val="32"/>
        </w:rPr>
      </w:pPr>
    </w:p>
    <w:p>
      <w:pPr>
        <w:numPr>
          <w:ilvl w:val="0"/>
          <w:numId w:val="3"/>
        </w:numPr>
        <w:ind w:firstLine="640" w:firstLineChars="200"/>
        <w:rPr>
          <w:rFonts w:hint="eastAsia" w:ascii="仿宋_GB2312" w:hAnsi="ˎ̥" w:eastAsia="仿宋_GB2312"/>
          <w:sz w:val="32"/>
          <w:szCs w:val="32"/>
        </w:rPr>
      </w:pPr>
      <w:r>
        <w:rPr>
          <w:rFonts w:hint="eastAsia" w:ascii="黑体" w:hAnsi="黑体" w:eastAsia="黑体" w:cs="黑体"/>
          <w:bCs/>
          <w:sz w:val="32"/>
          <w:szCs w:val="32"/>
        </w:rPr>
        <w:t>收入支出总体情况说明</w:t>
      </w:r>
    </w:p>
    <w:p>
      <w:pPr>
        <w:numPr>
          <w:numId w:val="0"/>
        </w:numPr>
        <w:ind w:firstLine="640" w:firstLineChars="200"/>
        <w:rPr>
          <w:rFonts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w:t>
      </w:r>
      <w:r>
        <w:rPr>
          <w:rFonts w:hint="eastAsia" w:ascii="仿宋_GB2312" w:hAnsi="ˎ̥" w:eastAsia="仿宋_GB2312"/>
          <w:sz w:val="32"/>
          <w:szCs w:val="32"/>
        </w:rPr>
        <w:t>度收入总计</w:t>
      </w:r>
      <w:r>
        <w:rPr>
          <w:rFonts w:hint="eastAsia" w:ascii="仿宋_GB2312" w:hAnsi="ˎ̥" w:eastAsia="仿宋_GB2312"/>
          <w:sz w:val="32"/>
          <w:szCs w:val="32"/>
          <w:lang w:val="en-US" w:eastAsia="zh-CN"/>
        </w:rPr>
        <w:t>13099.77</w:t>
      </w:r>
      <w:r>
        <w:rPr>
          <w:rFonts w:hint="eastAsia" w:ascii="仿宋_GB2312" w:hAnsi="ˎ̥" w:eastAsia="仿宋_GB2312"/>
          <w:sz w:val="32"/>
          <w:szCs w:val="32"/>
        </w:rPr>
        <w:t>万元，支出总计</w:t>
      </w:r>
      <w:r>
        <w:rPr>
          <w:rFonts w:hint="eastAsia" w:ascii="仿宋_GB2312" w:hAnsi="ˎ̥" w:eastAsia="仿宋_GB2312"/>
          <w:sz w:val="32"/>
          <w:szCs w:val="32"/>
          <w:lang w:val="en-US" w:eastAsia="zh-CN"/>
        </w:rPr>
        <w:t>13099.77</w:t>
      </w:r>
      <w:r>
        <w:rPr>
          <w:rFonts w:hint="eastAsia" w:ascii="仿宋_GB2312" w:hAnsi="ˎ̥" w:eastAsia="仿宋_GB2312"/>
          <w:sz w:val="32"/>
          <w:szCs w:val="32"/>
        </w:rPr>
        <w:t>万元，与</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年</w:t>
      </w:r>
      <w:r>
        <w:rPr>
          <w:rFonts w:hint="eastAsia" w:ascii="仿宋_GB2312" w:hAnsi="ˎ̥" w:eastAsia="仿宋_GB2312"/>
          <w:sz w:val="32"/>
          <w:szCs w:val="32"/>
        </w:rPr>
        <w:t>度相比，收入、支出总计各</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2000.33</w:t>
      </w:r>
      <w:r>
        <w:rPr>
          <w:rFonts w:hint="eastAsia" w:ascii="仿宋_GB2312" w:hAnsi="ˎ̥" w:eastAsia="仿宋_GB2312"/>
          <w:sz w:val="32"/>
          <w:szCs w:val="32"/>
        </w:rPr>
        <w:t>万元，</w:t>
      </w:r>
      <w:r>
        <w:rPr>
          <w:rFonts w:hint="eastAsia" w:ascii="仿宋_GB2312" w:hAnsi="ˎ̥" w:eastAsia="仿宋_GB2312"/>
          <w:sz w:val="32"/>
          <w:szCs w:val="32"/>
          <w:lang w:eastAsia="zh-CN"/>
        </w:rPr>
        <w:t>增长</w:t>
      </w:r>
      <w:r>
        <w:rPr>
          <w:rFonts w:hint="eastAsia" w:ascii="仿宋_GB2312" w:hAnsi="ˎ̥" w:eastAsia="仿宋_GB2312"/>
          <w:sz w:val="32"/>
          <w:szCs w:val="32"/>
          <w:lang w:val="en-US" w:eastAsia="zh-CN"/>
        </w:rPr>
        <w:t>18.02</w:t>
      </w:r>
      <w:r>
        <w:rPr>
          <w:rFonts w:hint="eastAsia" w:ascii="仿宋_GB2312" w:hAnsi="ˎ̥" w:eastAsia="仿宋_GB2312"/>
          <w:sz w:val="32"/>
          <w:szCs w:val="32"/>
        </w:rPr>
        <w:t>%</w:t>
      </w:r>
      <w:r>
        <w:rPr>
          <w:rFonts w:hint="eastAsia" w:ascii="仿宋_GB2312" w:hAnsi="ˎ̥" w:eastAsia="仿宋_GB2312" w:cs="Times New Roman"/>
          <w:sz w:val="32"/>
          <w:szCs w:val="32"/>
          <w:lang w:eastAsia="zh-CN"/>
        </w:rPr>
        <w:t>。主要原因：一是</w:t>
      </w:r>
      <w:r>
        <w:rPr>
          <w:rFonts w:hint="eastAsia" w:ascii="仿宋_GB2312" w:hAnsi="ˎ̥" w:eastAsia="仿宋_GB2312" w:cs="Times New Roman"/>
          <w:sz w:val="32"/>
          <w:szCs w:val="32"/>
          <w:lang w:val="en-US" w:eastAsia="zh-CN"/>
        </w:rPr>
        <w:t>2023年度基本支出较上年度增加</w:t>
      </w:r>
      <w:r>
        <w:rPr>
          <w:rFonts w:hint="eastAsia" w:ascii="仿宋_GB2312" w:hAnsi="ˎ̥" w:eastAsia="仿宋_GB2312" w:cs="Times New Roman"/>
          <w:sz w:val="32"/>
          <w:szCs w:val="32"/>
        </w:rPr>
        <w:t>；二是</w:t>
      </w:r>
      <w:r>
        <w:rPr>
          <w:rFonts w:hint="eastAsia" w:ascii="仿宋_GB2312" w:hAnsi="ˎ̥" w:eastAsia="仿宋_GB2312" w:cs="Times New Roman"/>
          <w:sz w:val="32"/>
          <w:szCs w:val="32"/>
          <w:lang w:eastAsia="zh-CN"/>
        </w:rPr>
        <w:t>增加了公证参与司法辅助事务工作一次性项目；三是两房（庭）及装备更新维护较上年度也有所增加</w:t>
      </w:r>
      <w:r>
        <w:rPr>
          <w:rFonts w:hint="eastAsia" w:ascii="仿宋_GB2312" w:hAnsi="ˎ̥" w:eastAsia="仿宋_GB2312"/>
          <w:sz w:val="32"/>
          <w:szCs w:val="32"/>
        </w:rPr>
        <w:t>。</w:t>
      </w:r>
    </w:p>
    <w:p>
      <w:pPr>
        <w:spacing w:line="578" w:lineRule="exact"/>
        <w:ind w:firstLine="640" w:firstLineChars="200"/>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r>
        <w:rPr>
          <w:rFonts w:hint="eastAsia" w:ascii="楷体" w:hAnsi="楷体" w:eastAsia="楷体" w:cs="楷体"/>
          <w:sz w:val="32"/>
          <w:szCs w:val="32"/>
        </w:rPr>
        <w:t>。</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eastAsia" w:ascii="仿宋_GB2312" w:hAnsi="ˎ̥" w:eastAsia="仿宋_GB2312"/>
          <w:sz w:val="32"/>
          <w:szCs w:val="32"/>
          <w:lang w:val="en-US" w:eastAsia="zh-CN"/>
        </w:rPr>
        <w:t>13099.77</w:t>
      </w:r>
      <w:r>
        <w:rPr>
          <w:rFonts w:hint="eastAsia" w:ascii="仿宋_GB2312" w:hAnsi="ˎ̥" w:eastAsia="仿宋_GB2312"/>
          <w:sz w:val="32"/>
          <w:szCs w:val="32"/>
        </w:rPr>
        <w:t>万元。</w:t>
      </w:r>
    </w:p>
    <w:p>
      <w:pPr>
        <w:spacing w:line="578" w:lineRule="exact"/>
        <w:ind w:firstLine="640" w:firstLineChars="200"/>
        <w:rPr>
          <w:rFonts w:hint="eastAsia" w:ascii="仿宋_GB2312" w:hAnsi="ˎ̥" w:eastAsia="仿宋_GB2312" w:cs="Times New Roman"/>
          <w:sz w:val="32"/>
          <w:szCs w:val="32"/>
          <w:lang w:val="en-US" w:eastAsia="zh-CN"/>
        </w:rPr>
      </w:pPr>
      <w:r>
        <w:rPr>
          <w:rFonts w:hint="eastAsia" w:ascii="仿宋_GB2312" w:hAnsi="ˎ̥" w:eastAsia="仿宋_GB2312" w:cs="Times New Roman"/>
          <w:sz w:val="32"/>
          <w:szCs w:val="32"/>
          <w:lang w:val="en-US" w:eastAsia="zh-CN"/>
        </w:rPr>
        <w:t>使用非财政拨款结余0万元，与2022年度决算数持平。年初结转结余3799.59万元，主要是办案经费等财政拨款结转，较2022年度决算数增加185.05万元，增长5.12%，主要原因是装备款和司法救助等相关经费结转多一些。</w:t>
      </w:r>
    </w:p>
    <w:p>
      <w:pPr>
        <w:spacing w:line="578" w:lineRule="exact"/>
        <w:ind w:firstLine="640" w:firstLineChars="200"/>
        <w:rPr>
          <w:rFonts w:ascii="楷体" w:hAnsi="楷体" w:eastAsia="楷体" w:cs="楷体"/>
          <w:sz w:val="32"/>
          <w:szCs w:val="32"/>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r>
        <w:rPr>
          <w:rFonts w:hint="eastAsia" w:ascii="楷体" w:hAnsi="楷体" w:eastAsia="楷体" w:cs="楷体"/>
          <w:sz w:val="32"/>
          <w:szCs w:val="32"/>
        </w:rPr>
        <w:t>。</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本年支出</w:t>
      </w:r>
      <w:r>
        <w:rPr>
          <w:rFonts w:hint="eastAsia" w:ascii="仿宋_GB2312" w:hAnsi="ˎ̥" w:eastAsia="仿宋_GB2312"/>
          <w:sz w:val="32"/>
          <w:szCs w:val="32"/>
          <w:lang w:val="en-US" w:eastAsia="zh-CN"/>
        </w:rPr>
        <w:t>13099.77</w:t>
      </w:r>
      <w:r>
        <w:rPr>
          <w:rFonts w:hint="eastAsia" w:ascii="仿宋_GB2312" w:hAnsi="ˎ̥" w:eastAsia="仿宋_GB2312"/>
          <w:sz w:val="32"/>
          <w:szCs w:val="32"/>
        </w:rPr>
        <w:t>万元。</w:t>
      </w:r>
    </w:p>
    <w:p>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结余分配</w:t>
      </w:r>
      <w:r>
        <w:rPr>
          <w:rFonts w:hint="eastAsia" w:ascii="仿宋_GB2312" w:hAnsi="ˎ̥" w:eastAsia="仿宋_GB2312"/>
          <w:sz w:val="32"/>
          <w:szCs w:val="32"/>
          <w:lang w:val="en-US" w:eastAsia="zh-CN"/>
        </w:rPr>
        <w:t>0</w:t>
      </w:r>
      <w:r>
        <w:rPr>
          <w:rFonts w:hint="eastAsia" w:ascii="仿宋_GB2312" w:hAnsi="ˎ̥" w:eastAsia="仿宋_GB2312"/>
          <w:sz w:val="32"/>
          <w:szCs w:val="32"/>
        </w:rPr>
        <w:t>万</w:t>
      </w:r>
      <w:r>
        <w:rPr>
          <w:rFonts w:hint="eastAsia" w:ascii="仿宋_GB2312" w:hAnsi="ˎ̥" w:eastAsia="仿宋_GB2312"/>
          <w:sz w:val="32"/>
          <w:szCs w:val="32"/>
          <w:lang w:eastAsia="zh-CN"/>
        </w:rPr>
        <w:t>元</w:t>
      </w:r>
      <w:r>
        <w:rPr>
          <w:rFonts w:hint="eastAsia" w:ascii="仿宋_GB2312" w:hAnsi="ˎ̥" w:eastAsia="仿宋_GB2312"/>
          <w:sz w:val="32"/>
          <w:szCs w:val="32"/>
        </w:rPr>
        <w:t>。</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年末结转结余</w:t>
      </w:r>
      <w:r>
        <w:rPr>
          <w:rFonts w:hint="eastAsia" w:ascii="仿宋_GB2312" w:hAnsi="ˎ̥" w:eastAsia="仿宋_GB2312"/>
          <w:sz w:val="32"/>
          <w:szCs w:val="32"/>
          <w:lang w:val="en-US" w:eastAsia="zh-CN"/>
        </w:rPr>
        <w:t>3811.97</w:t>
      </w:r>
      <w:r>
        <w:rPr>
          <w:rFonts w:hint="eastAsia" w:ascii="仿宋_GB2312" w:hAnsi="ˎ̥" w:eastAsia="仿宋_GB2312"/>
          <w:sz w:val="32"/>
          <w:szCs w:val="32"/>
        </w:rPr>
        <w:t>万元，主要是</w:t>
      </w:r>
      <w:r>
        <w:rPr>
          <w:rFonts w:hint="eastAsia" w:ascii="仿宋_GB2312" w:hAnsi="ˎ̥" w:eastAsia="仿宋_GB2312" w:cs="Times New Roman"/>
          <w:sz w:val="32"/>
          <w:szCs w:val="32"/>
          <w:lang w:val="en-US" w:eastAsia="zh-CN"/>
        </w:rPr>
        <w:t>装备款和司法救助</w:t>
      </w:r>
      <w:r>
        <w:rPr>
          <w:rFonts w:hint="eastAsia" w:ascii="仿宋_GB2312" w:hAnsi="ˎ̥" w:eastAsia="仿宋_GB2312"/>
          <w:sz w:val="32"/>
          <w:szCs w:val="32"/>
        </w:rPr>
        <w:t>等相关经费，较</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年</w:t>
      </w:r>
      <w:r>
        <w:rPr>
          <w:rFonts w:hint="eastAsia" w:ascii="仿宋_GB2312" w:hAnsi="ˎ̥" w:eastAsia="仿宋_GB2312"/>
          <w:sz w:val="32"/>
          <w:szCs w:val="32"/>
        </w:rPr>
        <w:t>度决算数增加</w:t>
      </w:r>
      <w:r>
        <w:rPr>
          <w:rFonts w:hint="eastAsia" w:ascii="仿宋_GB2312" w:hAnsi="ˎ̥" w:eastAsia="仿宋_GB2312"/>
          <w:sz w:val="32"/>
          <w:szCs w:val="32"/>
          <w:lang w:val="en-US" w:eastAsia="zh-CN"/>
        </w:rPr>
        <w:t>12.38</w:t>
      </w:r>
      <w:r>
        <w:rPr>
          <w:rFonts w:hint="eastAsia" w:ascii="仿宋_GB2312" w:hAnsi="ˎ̥" w:eastAsia="仿宋_GB2312"/>
          <w:sz w:val="32"/>
          <w:szCs w:val="32"/>
        </w:rPr>
        <w:t>万元，增长</w:t>
      </w:r>
      <w:r>
        <w:rPr>
          <w:rFonts w:hint="eastAsia" w:ascii="仿宋_GB2312" w:hAnsi="ˎ̥" w:eastAsia="仿宋_GB2312"/>
          <w:sz w:val="32"/>
          <w:szCs w:val="32"/>
          <w:lang w:val="en-US" w:eastAsia="zh-CN"/>
        </w:rPr>
        <w:t>0.32</w:t>
      </w:r>
      <w:r>
        <w:rPr>
          <w:rFonts w:hint="eastAsia" w:ascii="仿宋_GB2312" w:hAnsi="ˎ̥" w:eastAsia="仿宋_GB2312"/>
          <w:sz w:val="32"/>
          <w:szCs w:val="32"/>
        </w:rPr>
        <w:t>%，</w:t>
      </w:r>
      <w:r>
        <w:rPr>
          <w:rFonts w:hint="eastAsia" w:ascii="仿宋_GB2312" w:hAnsi="ˎ̥" w:eastAsia="仿宋_GB2312"/>
          <w:sz w:val="32"/>
          <w:szCs w:val="32"/>
          <w:lang w:eastAsia="zh-CN"/>
        </w:rPr>
        <w:t>与</w:t>
      </w:r>
      <w:r>
        <w:rPr>
          <w:rFonts w:hint="eastAsia" w:ascii="仿宋_GB2312" w:hAnsi="ˎ̥" w:eastAsia="仿宋_GB2312"/>
          <w:sz w:val="32"/>
          <w:szCs w:val="32"/>
          <w:lang w:val="en-US" w:eastAsia="zh-CN"/>
        </w:rPr>
        <w:t>2022年度决算数基本持平</w:t>
      </w:r>
      <w:r>
        <w:rPr>
          <w:rFonts w:hint="eastAsia" w:ascii="仿宋_GB2312" w:hAnsi="ˎ̥" w:eastAsia="仿宋_GB2312"/>
          <w:sz w:val="32"/>
          <w:szCs w:val="32"/>
        </w:rPr>
        <w:t xml:space="preserve">。  </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 xml:space="preserve"> </w:t>
      </w: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本年收入合计</w:t>
      </w:r>
      <w:r>
        <w:rPr>
          <w:rFonts w:hint="eastAsia" w:ascii="仿宋_GB2312" w:hAnsi="ˎ̥" w:eastAsia="仿宋_GB2312"/>
          <w:sz w:val="32"/>
          <w:szCs w:val="32"/>
          <w:lang w:val="en-US" w:eastAsia="zh-CN"/>
        </w:rPr>
        <w:t>9300.18</w:t>
      </w:r>
      <w:r>
        <w:rPr>
          <w:rFonts w:hint="eastAsia" w:ascii="仿宋_GB2312" w:hAnsi="ˎ̥" w:eastAsia="仿宋_GB2312"/>
          <w:sz w:val="32"/>
          <w:szCs w:val="32"/>
        </w:rPr>
        <w:t>万元，其中：财政拨款收入</w:t>
      </w:r>
      <w:r>
        <w:rPr>
          <w:rFonts w:hint="eastAsia" w:ascii="仿宋_GB2312" w:hAnsi="ˎ̥" w:eastAsia="仿宋_GB2312"/>
          <w:sz w:val="32"/>
          <w:szCs w:val="32"/>
          <w:lang w:val="en-US" w:eastAsia="zh-CN"/>
        </w:rPr>
        <w:t>9059.35</w:t>
      </w:r>
      <w:r>
        <w:rPr>
          <w:rFonts w:hint="eastAsia" w:ascii="仿宋_GB2312" w:hAnsi="ˎ̥" w:eastAsia="仿宋_GB2312"/>
          <w:sz w:val="32"/>
          <w:szCs w:val="32"/>
        </w:rPr>
        <w:t>万元，占</w:t>
      </w:r>
      <w:r>
        <w:rPr>
          <w:rFonts w:hint="eastAsia" w:ascii="仿宋_GB2312" w:hAnsi="ˎ̥" w:eastAsia="仿宋_GB2312"/>
          <w:sz w:val="32"/>
          <w:szCs w:val="32"/>
          <w:lang w:val="en-US" w:eastAsia="zh-CN"/>
        </w:rPr>
        <w:t>97.41</w:t>
      </w:r>
      <w:r>
        <w:rPr>
          <w:rFonts w:hint="eastAsia" w:ascii="仿宋_GB2312" w:hAnsi="ˎ̥" w:eastAsia="仿宋_GB2312"/>
          <w:sz w:val="32"/>
          <w:szCs w:val="32"/>
        </w:rPr>
        <w:t>%；上级补助收入0万元；事业收入0万元；经营收入0万元；附属单位上缴收入0万元；其他收入</w:t>
      </w:r>
      <w:r>
        <w:rPr>
          <w:rFonts w:hint="eastAsia" w:ascii="仿宋_GB2312" w:hAnsi="ˎ̥" w:eastAsia="仿宋_GB2312"/>
          <w:sz w:val="32"/>
          <w:szCs w:val="32"/>
          <w:lang w:val="en-US" w:eastAsia="zh-CN"/>
        </w:rPr>
        <w:t>240.83</w:t>
      </w:r>
      <w:r>
        <w:rPr>
          <w:rFonts w:hint="eastAsia" w:ascii="仿宋_GB2312" w:hAnsi="ˎ̥" w:eastAsia="仿宋_GB2312"/>
          <w:sz w:val="32"/>
          <w:szCs w:val="32"/>
        </w:rPr>
        <w:t>万元，占</w:t>
      </w:r>
      <w:r>
        <w:rPr>
          <w:rFonts w:hint="eastAsia" w:ascii="仿宋_GB2312" w:hAnsi="ˎ̥" w:eastAsia="仿宋_GB2312"/>
          <w:sz w:val="32"/>
          <w:szCs w:val="32"/>
          <w:lang w:val="en-US" w:eastAsia="zh-CN"/>
        </w:rPr>
        <w:t>2.59</w:t>
      </w:r>
      <w:r>
        <w:rPr>
          <w:rFonts w:hint="eastAsia" w:ascii="仿宋_GB2312" w:hAnsi="ˎ̥" w:eastAsia="仿宋_GB2312"/>
          <w:sz w:val="32"/>
          <w:szCs w:val="32"/>
        </w:rPr>
        <w:t>%。</w:t>
      </w:r>
    </w:p>
    <w:p>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三、支出决算情况说明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本年支出合计</w:t>
      </w:r>
      <w:r>
        <w:rPr>
          <w:rFonts w:hint="eastAsia" w:ascii="仿宋_GB2312" w:hAnsi="ˎ̥" w:eastAsia="仿宋_GB2312"/>
          <w:sz w:val="32"/>
          <w:szCs w:val="32"/>
          <w:lang w:val="en-US" w:eastAsia="zh-CN"/>
        </w:rPr>
        <w:t>9287.80</w:t>
      </w:r>
      <w:r>
        <w:rPr>
          <w:rFonts w:hint="eastAsia" w:ascii="仿宋_GB2312" w:hAnsi="ˎ̥" w:eastAsia="仿宋_GB2312"/>
          <w:sz w:val="32"/>
          <w:szCs w:val="32"/>
        </w:rPr>
        <w:t>万元，其中：基本支出</w:t>
      </w:r>
      <w:r>
        <w:rPr>
          <w:rFonts w:hint="eastAsia" w:ascii="仿宋_GB2312" w:hAnsi="ˎ̥" w:eastAsia="仿宋_GB2312"/>
          <w:sz w:val="32"/>
          <w:szCs w:val="32"/>
          <w:lang w:val="en-US" w:eastAsia="zh-CN"/>
        </w:rPr>
        <w:t>6890.02</w:t>
      </w:r>
      <w:r>
        <w:rPr>
          <w:rFonts w:hint="eastAsia" w:ascii="仿宋_GB2312" w:hAnsi="ˎ̥" w:eastAsia="仿宋_GB2312"/>
          <w:sz w:val="32"/>
          <w:szCs w:val="32"/>
        </w:rPr>
        <w:t>万元，占</w:t>
      </w:r>
      <w:r>
        <w:rPr>
          <w:rFonts w:hint="eastAsia" w:ascii="仿宋_GB2312" w:hAnsi="ˎ̥" w:eastAsia="仿宋_GB2312"/>
          <w:sz w:val="32"/>
          <w:szCs w:val="32"/>
          <w:lang w:val="en-US" w:eastAsia="zh-CN"/>
        </w:rPr>
        <w:t>74.18</w:t>
      </w:r>
      <w:r>
        <w:rPr>
          <w:rFonts w:hint="eastAsia" w:ascii="仿宋_GB2312" w:hAnsi="ˎ̥" w:eastAsia="仿宋_GB2312"/>
          <w:sz w:val="32"/>
          <w:szCs w:val="32"/>
        </w:rPr>
        <w:t>%；项目支出</w:t>
      </w:r>
      <w:r>
        <w:rPr>
          <w:rFonts w:hint="eastAsia" w:ascii="仿宋_GB2312" w:hAnsi="ˎ̥" w:eastAsia="仿宋_GB2312"/>
          <w:sz w:val="32"/>
          <w:szCs w:val="32"/>
          <w:lang w:val="en-US" w:eastAsia="zh-CN"/>
        </w:rPr>
        <w:t>2397.78</w:t>
      </w:r>
      <w:r>
        <w:rPr>
          <w:rFonts w:hint="eastAsia" w:ascii="仿宋_GB2312" w:hAnsi="ˎ̥" w:eastAsia="仿宋_GB2312"/>
          <w:sz w:val="32"/>
          <w:szCs w:val="32"/>
        </w:rPr>
        <w:t>万元，占</w:t>
      </w:r>
      <w:r>
        <w:rPr>
          <w:rFonts w:hint="eastAsia" w:ascii="仿宋_GB2312" w:hAnsi="ˎ̥" w:eastAsia="仿宋_GB2312"/>
          <w:sz w:val="32"/>
          <w:szCs w:val="32"/>
          <w:lang w:val="en-US" w:eastAsia="zh-CN"/>
        </w:rPr>
        <w:t>25.82</w:t>
      </w:r>
      <w:r>
        <w:rPr>
          <w:rFonts w:hint="eastAsia" w:ascii="仿宋_GB2312" w:hAnsi="ˎ̥" w:eastAsia="仿宋_GB2312"/>
          <w:sz w:val="32"/>
          <w:szCs w:val="32"/>
        </w:rPr>
        <w:t>%；上缴上级支出0万元；经营支出0万元；对附属单位补助支出0万元。</w:t>
      </w:r>
    </w:p>
    <w:p>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年度财政拨款收入</w:t>
      </w:r>
      <w:r>
        <w:rPr>
          <w:rFonts w:hint="eastAsia" w:ascii="仿宋_GB2312" w:hAnsi="ˎ̥" w:eastAsia="仿宋_GB2312"/>
          <w:sz w:val="32"/>
          <w:szCs w:val="32"/>
          <w:lang w:val="en-US" w:eastAsia="zh-CN"/>
        </w:rPr>
        <w:t>11766.64</w:t>
      </w:r>
      <w:r>
        <w:rPr>
          <w:rFonts w:hint="eastAsia" w:ascii="仿宋_GB2312" w:hAnsi="ˎ̥" w:eastAsia="仿宋_GB2312"/>
          <w:sz w:val="32"/>
          <w:szCs w:val="32"/>
        </w:rPr>
        <w:t>万元，支出</w:t>
      </w:r>
      <w:r>
        <w:rPr>
          <w:rFonts w:hint="eastAsia" w:ascii="仿宋_GB2312" w:hAnsi="ˎ̥" w:eastAsia="仿宋_GB2312"/>
          <w:sz w:val="32"/>
          <w:szCs w:val="32"/>
          <w:lang w:val="en-US" w:eastAsia="zh-CN"/>
        </w:rPr>
        <w:t>11766.64</w:t>
      </w:r>
      <w:r>
        <w:rPr>
          <w:rFonts w:hint="eastAsia" w:ascii="仿宋_GB2312" w:hAnsi="ˎ̥" w:eastAsia="仿宋_GB2312"/>
          <w:sz w:val="32"/>
          <w:szCs w:val="32"/>
        </w:rPr>
        <w:t>万元。与202</w:t>
      </w:r>
      <w:r>
        <w:rPr>
          <w:rFonts w:ascii="仿宋_GB2312" w:hAnsi="ˎ̥" w:eastAsia="仿宋_GB2312"/>
          <w:sz w:val="32"/>
          <w:szCs w:val="32"/>
        </w:rPr>
        <w:t>2</w:t>
      </w:r>
      <w:r>
        <w:rPr>
          <w:rFonts w:hint="eastAsia" w:ascii="仿宋_GB2312" w:hAnsi="ˎ̥" w:eastAsia="仿宋_GB2312"/>
          <w:sz w:val="32"/>
          <w:szCs w:val="32"/>
        </w:rPr>
        <w:t>年度相比，财政拨款收入增加</w:t>
      </w:r>
      <w:r>
        <w:rPr>
          <w:rFonts w:hint="eastAsia" w:ascii="仿宋_GB2312" w:hAnsi="ˎ̥" w:eastAsia="仿宋_GB2312"/>
          <w:sz w:val="32"/>
          <w:szCs w:val="32"/>
          <w:lang w:val="en-US" w:eastAsia="zh-CN"/>
        </w:rPr>
        <w:t>2120.58</w:t>
      </w:r>
      <w:r>
        <w:rPr>
          <w:rFonts w:hint="eastAsia" w:ascii="仿宋_GB2312" w:hAnsi="ˎ̥" w:eastAsia="仿宋_GB2312"/>
          <w:sz w:val="32"/>
          <w:szCs w:val="32"/>
        </w:rPr>
        <w:t>万元，增长</w:t>
      </w:r>
      <w:r>
        <w:rPr>
          <w:rFonts w:hint="eastAsia" w:ascii="仿宋_GB2312" w:hAnsi="ˎ̥" w:eastAsia="仿宋_GB2312"/>
          <w:sz w:val="32"/>
          <w:szCs w:val="32"/>
          <w:lang w:val="en-US" w:eastAsia="zh-CN"/>
        </w:rPr>
        <w:t>21.98</w:t>
      </w:r>
      <w:r>
        <w:rPr>
          <w:rFonts w:hint="eastAsia" w:ascii="仿宋_GB2312" w:hAnsi="ˎ̥" w:eastAsia="仿宋_GB2312"/>
          <w:sz w:val="32"/>
          <w:szCs w:val="32"/>
        </w:rPr>
        <w:t>%，</w:t>
      </w:r>
      <w:r>
        <w:rPr>
          <w:rFonts w:hint="eastAsia" w:ascii="仿宋_GB2312" w:hAnsi="ˎ̥" w:eastAsia="仿宋_GB2312" w:cs="Times New Roman"/>
          <w:sz w:val="32"/>
          <w:szCs w:val="32"/>
        </w:rPr>
        <w:t>主要原因：一是</w:t>
      </w:r>
      <w:r>
        <w:rPr>
          <w:rFonts w:hint="eastAsia" w:ascii="仿宋_GB2312" w:hAnsi="ˎ̥" w:eastAsia="仿宋_GB2312" w:cs="Times New Roman"/>
          <w:sz w:val="32"/>
          <w:szCs w:val="32"/>
          <w:lang w:val="en-US" w:eastAsia="zh-CN"/>
        </w:rPr>
        <w:t>2023年度基本支出较上年度增加</w:t>
      </w:r>
      <w:r>
        <w:rPr>
          <w:rFonts w:hint="eastAsia" w:ascii="仿宋_GB2312" w:hAnsi="ˎ̥" w:eastAsia="仿宋_GB2312" w:cs="Times New Roman"/>
          <w:sz w:val="32"/>
          <w:szCs w:val="32"/>
        </w:rPr>
        <w:t>；二是</w:t>
      </w:r>
      <w:r>
        <w:rPr>
          <w:rFonts w:hint="eastAsia" w:ascii="仿宋_GB2312" w:hAnsi="ˎ̥" w:eastAsia="仿宋_GB2312" w:cs="Times New Roman"/>
          <w:sz w:val="32"/>
          <w:szCs w:val="32"/>
          <w:lang w:eastAsia="zh-CN"/>
        </w:rPr>
        <w:t>增加了公证参与司法辅助事务工作一次性项目；三是两房（庭）及装备更新维护较上年度也有所增加</w:t>
      </w:r>
      <w:r>
        <w:rPr>
          <w:rFonts w:hint="eastAsia" w:ascii="仿宋_GB2312" w:hAnsi="ˎ̥" w:eastAsia="仿宋_GB2312" w:cs="Times New Roman"/>
          <w:sz w:val="32"/>
          <w:szCs w:val="32"/>
        </w:rPr>
        <w:t>。</w:t>
      </w:r>
      <w:r>
        <w:rPr>
          <w:rFonts w:hint="eastAsia" w:ascii="仿宋_GB2312" w:hAnsi="ˎ̥" w:eastAsia="仿宋_GB2312"/>
          <w:sz w:val="32"/>
          <w:szCs w:val="32"/>
        </w:rPr>
        <w:t>财政拨款</w:t>
      </w:r>
      <w:r>
        <w:rPr>
          <w:rFonts w:hint="eastAsia" w:ascii="仿宋_GB2312" w:hAnsi="ˎ̥" w:eastAsia="仿宋_GB2312" w:cs="Times New Roman"/>
          <w:sz w:val="32"/>
          <w:szCs w:val="32"/>
        </w:rPr>
        <w:t>支出增加</w:t>
      </w:r>
      <w:r>
        <w:rPr>
          <w:rFonts w:hint="eastAsia" w:ascii="仿宋_GB2312" w:hAnsi="ˎ̥" w:eastAsia="仿宋_GB2312" w:cs="Times New Roman"/>
          <w:sz w:val="32"/>
          <w:szCs w:val="32"/>
          <w:lang w:val="en-US" w:eastAsia="zh-CN"/>
        </w:rPr>
        <w:t>21</w:t>
      </w:r>
      <w:r>
        <w:rPr>
          <w:rFonts w:hint="eastAsia" w:ascii="仿宋_GB2312" w:hAnsi="ˎ̥" w:eastAsia="仿宋_GB2312"/>
          <w:sz w:val="32"/>
          <w:szCs w:val="32"/>
          <w:lang w:val="en-US" w:eastAsia="zh-CN"/>
        </w:rPr>
        <w:t>20.58</w:t>
      </w:r>
      <w:r>
        <w:rPr>
          <w:rFonts w:hint="eastAsia" w:ascii="仿宋_GB2312" w:hAnsi="ˎ̥" w:eastAsia="仿宋_GB2312"/>
          <w:sz w:val="32"/>
          <w:szCs w:val="32"/>
        </w:rPr>
        <w:t>万元，增长</w:t>
      </w:r>
      <w:r>
        <w:rPr>
          <w:rFonts w:hint="eastAsia" w:ascii="仿宋_GB2312" w:hAnsi="ˎ̥" w:eastAsia="仿宋_GB2312"/>
          <w:sz w:val="32"/>
          <w:szCs w:val="32"/>
          <w:lang w:val="en-US" w:eastAsia="zh-CN"/>
        </w:rPr>
        <w:t>21.98</w:t>
      </w:r>
      <w:r>
        <w:rPr>
          <w:rFonts w:hint="eastAsia" w:ascii="仿宋_GB2312" w:hAnsi="ˎ̥" w:eastAsia="仿宋_GB2312"/>
          <w:sz w:val="32"/>
          <w:szCs w:val="32"/>
        </w:rPr>
        <w:t>%，</w:t>
      </w:r>
      <w:r>
        <w:rPr>
          <w:rFonts w:hint="eastAsia" w:ascii="仿宋_GB2312" w:hAnsi="ˎ̥" w:eastAsia="仿宋_GB2312"/>
          <w:sz w:val="32"/>
          <w:szCs w:val="32"/>
          <w:lang w:eastAsia="zh-CN"/>
        </w:rPr>
        <w:t>主要原因：</w:t>
      </w:r>
      <w:r>
        <w:rPr>
          <w:rFonts w:hint="eastAsia" w:ascii="仿宋_GB2312" w:hAnsi="ˎ̥" w:eastAsia="仿宋_GB2312" w:cs="Times New Roman"/>
          <w:sz w:val="32"/>
          <w:szCs w:val="32"/>
        </w:rPr>
        <w:t>一是</w:t>
      </w:r>
      <w:r>
        <w:rPr>
          <w:rFonts w:hint="eastAsia" w:ascii="仿宋_GB2312" w:hAnsi="ˎ̥" w:eastAsia="仿宋_GB2312" w:cs="Times New Roman"/>
          <w:sz w:val="32"/>
          <w:szCs w:val="32"/>
          <w:lang w:val="en-US" w:eastAsia="zh-CN"/>
        </w:rPr>
        <w:t>2023年度基本支出较上年度增加</w:t>
      </w:r>
      <w:r>
        <w:rPr>
          <w:rFonts w:hint="eastAsia" w:ascii="仿宋_GB2312" w:hAnsi="ˎ̥" w:eastAsia="仿宋_GB2312" w:cs="Times New Roman"/>
          <w:sz w:val="32"/>
          <w:szCs w:val="32"/>
        </w:rPr>
        <w:t>；二是</w:t>
      </w:r>
      <w:r>
        <w:rPr>
          <w:rFonts w:hint="eastAsia" w:ascii="仿宋_GB2312" w:hAnsi="ˎ̥" w:eastAsia="仿宋_GB2312" w:cs="Times New Roman"/>
          <w:sz w:val="32"/>
          <w:szCs w:val="32"/>
          <w:lang w:eastAsia="zh-CN"/>
        </w:rPr>
        <w:t>增加了公证参与司法辅助事务工作一次性项目；三是两房（庭）及装备更新维护较上年度也有所增加</w:t>
      </w:r>
      <w:r>
        <w:rPr>
          <w:rFonts w:hint="eastAsia" w:ascii="仿宋_GB2312" w:hAnsi="ˎ̥" w:eastAsia="仿宋_GB2312"/>
          <w:sz w:val="32"/>
          <w:szCs w:val="32"/>
        </w:rPr>
        <w:t>。</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hint="eastAsia" w:ascii="仿宋_GB2312" w:hAnsi="ˎ̥" w:eastAsia="仿宋_GB2312"/>
          <w:sz w:val="32"/>
          <w:szCs w:val="32"/>
          <w:lang w:val="en-US" w:eastAsia="zh-CN"/>
        </w:rPr>
        <w:t>2707.29</w:t>
      </w:r>
      <w:r>
        <w:rPr>
          <w:rFonts w:hint="eastAsia" w:ascii="仿宋_GB2312" w:hAnsi="ˎ̥" w:eastAsia="仿宋_GB2312"/>
          <w:sz w:val="32"/>
          <w:szCs w:val="32"/>
        </w:rPr>
        <w:t>万元，主要是</w:t>
      </w:r>
      <w:r>
        <w:rPr>
          <w:rFonts w:hint="eastAsia" w:ascii="仿宋_GB2312" w:hAnsi="ˎ̥" w:eastAsia="仿宋_GB2312"/>
          <w:sz w:val="32"/>
          <w:szCs w:val="32"/>
          <w:lang w:eastAsia="zh-CN"/>
        </w:rPr>
        <w:t>基本支出和装备费等经费结余</w:t>
      </w:r>
      <w:r>
        <w:rPr>
          <w:rFonts w:hint="eastAsia" w:ascii="仿宋_GB2312" w:hAnsi="ˎ̥" w:eastAsia="仿宋_GB2312"/>
          <w:sz w:val="32"/>
          <w:szCs w:val="32"/>
        </w:rPr>
        <w:t>，</w:t>
      </w:r>
      <w:r>
        <w:rPr>
          <w:rFonts w:hint="eastAsia" w:ascii="仿宋_GB2312" w:hAnsi="ˎ̥" w:eastAsia="仿宋_GB2312"/>
          <w:sz w:val="32"/>
          <w:szCs w:val="32"/>
          <w:lang w:eastAsia="zh-CN"/>
        </w:rPr>
        <w:t>与</w:t>
      </w:r>
      <w:r>
        <w:rPr>
          <w:rFonts w:hint="eastAsia" w:ascii="仿宋_GB2312" w:hAnsi="ˎ̥" w:eastAsia="仿宋_GB2312"/>
          <w:sz w:val="32"/>
          <w:szCs w:val="32"/>
        </w:rPr>
        <w:t>202</w:t>
      </w:r>
      <w:r>
        <w:rPr>
          <w:rFonts w:ascii="仿宋_GB2312" w:hAnsi="ˎ̥" w:eastAsia="仿宋_GB2312"/>
          <w:sz w:val="32"/>
          <w:szCs w:val="32"/>
        </w:rPr>
        <w:t>2</w:t>
      </w:r>
      <w:r>
        <w:rPr>
          <w:rFonts w:hint="eastAsia" w:ascii="仿宋_GB2312" w:hAnsi="ˎ̥" w:eastAsia="仿宋_GB2312"/>
          <w:sz w:val="32"/>
          <w:szCs w:val="32"/>
        </w:rPr>
        <w:t>年度决算数</w:t>
      </w:r>
      <w:r>
        <w:rPr>
          <w:rFonts w:hint="eastAsia" w:ascii="仿宋_GB2312" w:hAnsi="ˎ̥" w:eastAsia="仿宋_GB2312"/>
          <w:sz w:val="32"/>
          <w:szCs w:val="32"/>
          <w:lang w:eastAsia="zh-CN"/>
        </w:rPr>
        <w:t>持平</w:t>
      </w:r>
      <w:r>
        <w:rPr>
          <w:rFonts w:hint="eastAsia" w:ascii="仿宋_GB2312" w:hAnsi="ˎ̥" w:eastAsia="仿宋_GB2312"/>
          <w:sz w:val="32"/>
          <w:szCs w:val="32"/>
        </w:rPr>
        <w:t>。</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hint="eastAsia" w:ascii="仿宋_GB2312" w:hAnsi="ˎ̥" w:eastAsia="仿宋_GB2312"/>
          <w:sz w:val="32"/>
          <w:szCs w:val="32"/>
          <w:lang w:val="en-US" w:eastAsia="zh-CN"/>
        </w:rPr>
        <w:t>2707.29</w:t>
      </w:r>
      <w:r>
        <w:rPr>
          <w:rFonts w:hint="eastAsia" w:ascii="仿宋_GB2312" w:hAnsi="ˎ̥" w:eastAsia="仿宋_GB2312"/>
          <w:sz w:val="32"/>
          <w:szCs w:val="32"/>
        </w:rPr>
        <w:t>万元，主要是</w:t>
      </w:r>
      <w:r>
        <w:rPr>
          <w:rFonts w:hint="eastAsia" w:ascii="仿宋_GB2312" w:hAnsi="ˎ̥" w:eastAsia="仿宋_GB2312"/>
          <w:sz w:val="32"/>
          <w:szCs w:val="32"/>
          <w:lang w:eastAsia="zh-CN"/>
        </w:rPr>
        <w:t>基本支出和装备费等经费结余</w:t>
      </w:r>
      <w:r>
        <w:rPr>
          <w:rFonts w:hint="eastAsia" w:ascii="仿宋_GB2312" w:hAnsi="ˎ̥" w:eastAsia="仿宋_GB2312"/>
          <w:sz w:val="32"/>
          <w:szCs w:val="32"/>
        </w:rPr>
        <w:t>，</w:t>
      </w:r>
      <w:r>
        <w:rPr>
          <w:rFonts w:hint="eastAsia" w:ascii="仿宋_GB2312" w:hAnsi="ˎ̥" w:eastAsia="仿宋_GB2312"/>
          <w:sz w:val="32"/>
          <w:szCs w:val="32"/>
          <w:lang w:eastAsia="zh-CN"/>
        </w:rPr>
        <w:t>与</w:t>
      </w:r>
      <w:r>
        <w:rPr>
          <w:rFonts w:hint="eastAsia" w:ascii="仿宋_GB2312" w:hAnsi="ˎ̥" w:eastAsia="仿宋_GB2312"/>
          <w:sz w:val="32"/>
          <w:szCs w:val="32"/>
        </w:rPr>
        <w:t>202</w:t>
      </w:r>
      <w:r>
        <w:rPr>
          <w:rFonts w:ascii="仿宋_GB2312" w:hAnsi="ˎ̥" w:eastAsia="仿宋_GB2312"/>
          <w:sz w:val="32"/>
          <w:szCs w:val="32"/>
        </w:rPr>
        <w:t>2</w:t>
      </w:r>
      <w:r>
        <w:rPr>
          <w:rFonts w:hint="eastAsia" w:ascii="仿宋_GB2312" w:hAnsi="ˎ̥" w:eastAsia="仿宋_GB2312"/>
          <w:sz w:val="32"/>
          <w:szCs w:val="32"/>
        </w:rPr>
        <w:t>年度决算数</w:t>
      </w:r>
      <w:r>
        <w:rPr>
          <w:rFonts w:hint="eastAsia" w:ascii="仿宋_GB2312" w:hAnsi="ˎ̥" w:eastAsia="仿宋_GB2312"/>
          <w:sz w:val="32"/>
          <w:szCs w:val="32"/>
          <w:lang w:eastAsia="zh-CN"/>
        </w:rPr>
        <w:t>持平</w:t>
      </w:r>
      <w:r>
        <w:rPr>
          <w:rFonts w:hint="eastAsia" w:ascii="仿宋_GB2312" w:hAnsi="ˎ̥" w:eastAsia="仿宋_GB2312"/>
          <w:sz w:val="32"/>
          <w:szCs w:val="32"/>
        </w:rPr>
        <w:t>。</w:t>
      </w:r>
    </w:p>
    <w:p>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spacing w:line="578" w:lineRule="exact"/>
        <w:ind w:firstLine="640" w:firstLineChars="200"/>
        <w:rPr>
          <w:rFonts w:hint="eastAsia" w:ascii="楷体" w:hAnsi="楷体" w:eastAsia="楷体" w:cs="楷体"/>
          <w:sz w:val="32"/>
          <w:szCs w:val="32"/>
        </w:rPr>
      </w:pPr>
      <w:bookmarkStart w:id="76" w:name="_Toc13694_WPSOffice_Level2"/>
      <w:bookmarkStart w:id="77" w:name="_Toc17398_WPSOffice_Level2"/>
      <w:bookmarkStart w:id="78" w:name="_Toc19665_WPSOffice_Level2"/>
      <w:bookmarkStart w:id="79" w:name="_Toc9989_WPSOffice_Level2"/>
      <w:bookmarkStart w:id="80" w:name="_Toc21737_WPSOffice_Level2"/>
      <w:bookmarkStart w:id="81" w:name="_Toc23005_WPSOffice_Level2"/>
      <w:r>
        <w:rPr>
          <w:rFonts w:hint="eastAsia" w:ascii="楷体" w:hAnsi="楷体" w:eastAsia="楷体" w:cs="楷体"/>
          <w:sz w:val="32"/>
          <w:szCs w:val="32"/>
        </w:rPr>
        <w:t>（一）一般公共预算财政拨款支出决算总体情况</w:t>
      </w:r>
      <w:bookmarkEnd w:id="76"/>
      <w:bookmarkEnd w:id="77"/>
      <w:r>
        <w:rPr>
          <w:rFonts w:hint="eastAsia" w:ascii="楷体" w:hAnsi="楷体" w:eastAsia="楷体" w:cs="楷体"/>
          <w:sz w:val="32"/>
          <w:szCs w:val="32"/>
        </w:rPr>
        <w:t>。</w:t>
      </w:r>
      <w:bookmarkEnd w:id="78"/>
      <w:bookmarkEnd w:id="79"/>
      <w:bookmarkEnd w:id="80"/>
      <w:bookmarkEnd w:id="81"/>
    </w:p>
    <w:p>
      <w:pPr>
        <w:ind w:firstLine="640" w:firstLineChars="200"/>
        <w:rPr>
          <w:rFonts w:hint="eastAsia"/>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w:t>
      </w:r>
      <w:r>
        <w:rPr>
          <w:rFonts w:hint="eastAsia" w:ascii="仿宋_GB2312" w:hAnsi="ˎ̥" w:eastAsia="仿宋_GB2312"/>
          <w:sz w:val="32"/>
          <w:szCs w:val="32"/>
        </w:rPr>
        <w:t>度一般公共预算财政拨款支出</w:t>
      </w:r>
      <w:r>
        <w:rPr>
          <w:rFonts w:hint="eastAsia" w:ascii="仿宋_GB2312" w:hAnsi="ˎ̥" w:eastAsia="仿宋_GB2312"/>
          <w:sz w:val="32"/>
          <w:szCs w:val="32"/>
          <w:lang w:val="en-US" w:eastAsia="zh-CN"/>
        </w:rPr>
        <w:t>9059.35</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97.54</w:t>
      </w:r>
      <w:r>
        <w:rPr>
          <w:rFonts w:hint="eastAsia" w:ascii="仿宋_GB2312" w:hAnsi="ˎ̥" w:eastAsia="仿宋_GB2312"/>
          <w:sz w:val="32"/>
          <w:szCs w:val="32"/>
        </w:rPr>
        <w:t>%。与</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年</w:t>
      </w:r>
      <w:r>
        <w:rPr>
          <w:rFonts w:hint="eastAsia" w:ascii="仿宋_GB2312" w:hAnsi="ˎ̥" w:eastAsia="仿宋_GB2312"/>
          <w:sz w:val="32"/>
          <w:szCs w:val="32"/>
        </w:rPr>
        <w:t>度相比，一般公共预算财政拨款支出</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1759.50</w:t>
      </w:r>
      <w:r>
        <w:rPr>
          <w:rFonts w:hint="eastAsia" w:ascii="仿宋_GB2312" w:hAnsi="ˎ̥" w:eastAsia="仿宋_GB2312"/>
          <w:sz w:val="32"/>
          <w:szCs w:val="32"/>
        </w:rPr>
        <w:t>万元，</w:t>
      </w:r>
      <w:r>
        <w:rPr>
          <w:rFonts w:hint="eastAsia" w:ascii="仿宋_GB2312" w:hAnsi="ˎ̥" w:eastAsia="仿宋_GB2312"/>
          <w:sz w:val="32"/>
          <w:szCs w:val="32"/>
          <w:lang w:eastAsia="zh-CN"/>
        </w:rPr>
        <w:t>增长</w:t>
      </w:r>
      <w:r>
        <w:rPr>
          <w:rFonts w:hint="eastAsia" w:ascii="仿宋_GB2312" w:hAnsi="ˎ̥" w:eastAsia="仿宋_GB2312"/>
          <w:sz w:val="32"/>
          <w:szCs w:val="32"/>
          <w:lang w:val="en-US" w:eastAsia="zh-CN"/>
        </w:rPr>
        <w:t>24.10</w:t>
      </w:r>
      <w:r>
        <w:rPr>
          <w:rFonts w:hint="eastAsia" w:ascii="仿宋_GB2312" w:hAnsi="ˎ̥" w:eastAsia="仿宋_GB2312"/>
          <w:sz w:val="32"/>
          <w:szCs w:val="32"/>
        </w:rPr>
        <w:t>%，主要原因</w:t>
      </w:r>
      <w:r>
        <w:rPr>
          <w:rFonts w:hint="eastAsia" w:ascii="仿宋_GB2312" w:hAnsi="ˎ̥" w:eastAsia="仿宋_GB2312"/>
          <w:sz w:val="32"/>
          <w:szCs w:val="32"/>
          <w:lang w:eastAsia="zh-CN"/>
        </w:rPr>
        <w:t>：</w:t>
      </w:r>
      <w:r>
        <w:rPr>
          <w:rFonts w:hint="eastAsia" w:ascii="仿宋_GB2312" w:hAnsi="ˎ̥" w:eastAsia="仿宋_GB2312" w:cs="Times New Roman"/>
          <w:sz w:val="32"/>
          <w:szCs w:val="32"/>
        </w:rPr>
        <w:t>一是</w:t>
      </w:r>
      <w:r>
        <w:rPr>
          <w:rFonts w:hint="eastAsia" w:ascii="仿宋_GB2312" w:hAnsi="ˎ̥" w:eastAsia="仿宋_GB2312" w:cs="Times New Roman"/>
          <w:sz w:val="32"/>
          <w:szCs w:val="32"/>
          <w:lang w:val="en-US" w:eastAsia="zh-CN"/>
        </w:rPr>
        <w:t>2023年度基本支出较上年度增加</w:t>
      </w:r>
      <w:r>
        <w:rPr>
          <w:rFonts w:hint="eastAsia" w:ascii="仿宋_GB2312" w:hAnsi="ˎ̥" w:eastAsia="仿宋_GB2312" w:cs="Times New Roman"/>
          <w:sz w:val="32"/>
          <w:szCs w:val="32"/>
        </w:rPr>
        <w:t>；二是</w:t>
      </w:r>
      <w:r>
        <w:rPr>
          <w:rFonts w:hint="eastAsia" w:ascii="仿宋_GB2312" w:hAnsi="ˎ̥" w:eastAsia="仿宋_GB2312" w:cs="Times New Roman"/>
          <w:sz w:val="32"/>
          <w:szCs w:val="32"/>
          <w:lang w:eastAsia="zh-CN"/>
        </w:rPr>
        <w:t>增加了公证参与司法辅助事务工作一次性项目；三是两房（庭）及装备更新维护较上年度也有所增加</w:t>
      </w:r>
      <w:r>
        <w:rPr>
          <w:rFonts w:hint="eastAsia" w:ascii="仿宋_GB2312" w:hAnsi="ˎ̥" w:eastAsia="仿宋_GB2312"/>
          <w:sz w:val="32"/>
          <w:szCs w:val="32"/>
        </w:rPr>
        <w:t>。</w:t>
      </w:r>
    </w:p>
    <w:p>
      <w:pPr>
        <w:numPr>
          <w:ilvl w:val="0"/>
          <w:numId w:val="4"/>
        </w:numPr>
        <w:spacing w:line="578" w:lineRule="exact"/>
        <w:ind w:firstLine="640" w:firstLineChars="200"/>
        <w:rPr>
          <w:rFonts w:hint="eastAsia" w:ascii="楷体" w:hAnsi="楷体" w:eastAsia="楷体" w:cs="楷体"/>
          <w:sz w:val="32"/>
          <w:szCs w:val="32"/>
        </w:rPr>
      </w:pPr>
      <w:bookmarkStart w:id="82" w:name="_Toc18793_WPSOffice_Level2"/>
      <w:bookmarkStart w:id="83" w:name="_Toc2711_WPSOffice_Level2"/>
      <w:bookmarkStart w:id="84" w:name="_Toc27767_WPSOffice_Level2"/>
      <w:bookmarkStart w:id="85" w:name="_Toc19075_WPSOffice_Level2"/>
      <w:bookmarkStart w:id="86" w:name="_Toc23864_WPSOffice_Level2"/>
      <w:bookmarkStart w:id="87" w:name="_Toc19535_WPSOffice_Level2"/>
      <w:r>
        <w:rPr>
          <w:rFonts w:hint="eastAsia" w:ascii="楷体" w:hAnsi="楷体" w:eastAsia="楷体" w:cs="楷体"/>
          <w:sz w:val="32"/>
          <w:szCs w:val="32"/>
        </w:rPr>
        <w:t>一般公共预算财政拨款支出决算结构情况</w:t>
      </w:r>
      <w:bookmarkEnd w:id="82"/>
      <w:bookmarkEnd w:id="83"/>
      <w:r>
        <w:rPr>
          <w:rFonts w:hint="eastAsia" w:ascii="楷体" w:hAnsi="楷体" w:eastAsia="楷体" w:cs="楷体"/>
          <w:sz w:val="32"/>
          <w:szCs w:val="32"/>
        </w:rPr>
        <w:t>。</w:t>
      </w:r>
      <w:bookmarkEnd w:id="84"/>
      <w:bookmarkEnd w:id="85"/>
      <w:bookmarkEnd w:id="86"/>
      <w:bookmarkEnd w:id="87"/>
    </w:p>
    <w:p>
      <w:pPr>
        <w:ind w:firstLine="640" w:firstLineChars="200"/>
        <w:rPr>
          <w:rFonts w:hint="eastAsia"/>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w:t>
      </w:r>
      <w:r>
        <w:rPr>
          <w:rFonts w:hint="eastAsia" w:ascii="仿宋_GB2312" w:hAnsi="ˎ̥" w:eastAsia="仿宋_GB2312"/>
          <w:sz w:val="32"/>
          <w:szCs w:val="32"/>
        </w:rPr>
        <w:t>度一般公共预算财政拨款支出</w:t>
      </w:r>
      <w:r>
        <w:rPr>
          <w:rFonts w:hint="eastAsia" w:ascii="仿宋_GB2312" w:hAnsi="ˎ̥" w:eastAsia="仿宋_GB2312"/>
          <w:sz w:val="32"/>
          <w:szCs w:val="32"/>
          <w:lang w:val="en-US" w:eastAsia="zh-CN"/>
        </w:rPr>
        <w:t>9059.35</w:t>
      </w:r>
      <w:r>
        <w:rPr>
          <w:rFonts w:hint="eastAsia" w:ascii="仿宋_GB2312" w:hAnsi="ˎ̥" w:eastAsia="仿宋_GB2312"/>
          <w:sz w:val="32"/>
          <w:szCs w:val="32"/>
        </w:rPr>
        <w:t>万元，主要用于以下方面：公共安全（类）支出</w:t>
      </w:r>
      <w:r>
        <w:rPr>
          <w:rFonts w:hint="eastAsia" w:ascii="仿宋_GB2312" w:hAnsi="ˎ̥" w:eastAsia="仿宋_GB2312"/>
          <w:sz w:val="32"/>
          <w:szCs w:val="32"/>
          <w:lang w:val="en-US" w:eastAsia="zh-CN"/>
        </w:rPr>
        <w:t>7109.95</w:t>
      </w:r>
      <w:r>
        <w:rPr>
          <w:rFonts w:hint="eastAsia" w:ascii="仿宋_GB2312" w:hAnsi="ˎ̥" w:eastAsia="仿宋_GB2312"/>
          <w:sz w:val="32"/>
          <w:szCs w:val="32"/>
        </w:rPr>
        <w:t>万元，占</w:t>
      </w:r>
      <w:r>
        <w:rPr>
          <w:rFonts w:hint="eastAsia" w:ascii="仿宋_GB2312" w:hAnsi="ˎ̥" w:eastAsia="仿宋_GB2312"/>
          <w:sz w:val="32"/>
          <w:szCs w:val="32"/>
          <w:lang w:val="en-US" w:eastAsia="zh-CN"/>
        </w:rPr>
        <w:t>78.48</w:t>
      </w:r>
      <w:r>
        <w:rPr>
          <w:rFonts w:hint="eastAsia" w:ascii="仿宋_GB2312" w:hAnsi="ˎ̥" w:eastAsia="仿宋_GB2312"/>
          <w:sz w:val="32"/>
          <w:szCs w:val="32"/>
        </w:rPr>
        <w:t>%；社会保障和就业（类）支出</w:t>
      </w:r>
      <w:r>
        <w:rPr>
          <w:rFonts w:hint="eastAsia" w:ascii="仿宋_GB2312" w:hAnsi="ˎ̥" w:eastAsia="仿宋_GB2312"/>
          <w:sz w:val="32"/>
          <w:szCs w:val="32"/>
          <w:lang w:val="en-US" w:eastAsia="zh-CN"/>
        </w:rPr>
        <w:t>1067.38</w:t>
      </w:r>
      <w:r>
        <w:rPr>
          <w:rFonts w:hint="eastAsia" w:ascii="仿宋_GB2312" w:hAnsi="ˎ̥" w:eastAsia="仿宋_GB2312"/>
          <w:sz w:val="32"/>
          <w:szCs w:val="32"/>
        </w:rPr>
        <w:t>万元，占</w:t>
      </w:r>
      <w:r>
        <w:rPr>
          <w:rFonts w:hint="eastAsia" w:ascii="仿宋_GB2312" w:hAnsi="ˎ̥" w:eastAsia="仿宋_GB2312"/>
          <w:sz w:val="32"/>
          <w:szCs w:val="32"/>
          <w:lang w:val="en-US" w:eastAsia="zh-CN"/>
        </w:rPr>
        <w:t>11.78</w:t>
      </w:r>
      <w:r>
        <w:rPr>
          <w:rFonts w:hint="eastAsia" w:ascii="仿宋_GB2312" w:hAnsi="ˎ̥" w:eastAsia="仿宋_GB2312"/>
          <w:sz w:val="32"/>
          <w:szCs w:val="32"/>
        </w:rPr>
        <w:t>%；卫生健康支出（类）支出</w:t>
      </w:r>
      <w:r>
        <w:rPr>
          <w:rFonts w:hint="eastAsia" w:ascii="仿宋_GB2312" w:hAnsi="ˎ̥" w:eastAsia="仿宋_GB2312"/>
          <w:sz w:val="32"/>
          <w:szCs w:val="32"/>
          <w:lang w:val="en-US" w:eastAsia="zh-CN"/>
        </w:rPr>
        <w:t>555.00</w:t>
      </w:r>
      <w:r>
        <w:rPr>
          <w:rFonts w:hint="eastAsia" w:ascii="仿宋_GB2312" w:hAnsi="ˎ̥" w:eastAsia="仿宋_GB2312"/>
          <w:sz w:val="32"/>
          <w:szCs w:val="32"/>
        </w:rPr>
        <w:t>万元，占</w:t>
      </w:r>
      <w:r>
        <w:rPr>
          <w:rFonts w:hint="eastAsia" w:ascii="仿宋_GB2312" w:hAnsi="ˎ̥" w:eastAsia="仿宋_GB2312"/>
          <w:sz w:val="32"/>
          <w:szCs w:val="32"/>
          <w:lang w:val="en-US" w:eastAsia="zh-CN"/>
        </w:rPr>
        <w:t>6.10</w:t>
      </w:r>
      <w:r>
        <w:rPr>
          <w:rFonts w:hint="eastAsia" w:ascii="仿宋_GB2312" w:hAnsi="ˎ̥" w:eastAsia="仿宋_GB2312"/>
          <w:sz w:val="32"/>
          <w:szCs w:val="32"/>
        </w:rPr>
        <w:t>%；住房保障（类）支出</w:t>
      </w:r>
      <w:r>
        <w:rPr>
          <w:rFonts w:hint="eastAsia" w:ascii="仿宋_GB2312" w:hAnsi="ˎ̥" w:eastAsia="仿宋_GB2312"/>
          <w:sz w:val="32"/>
          <w:szCs w:val="32"/>
          <w:lang w:val="en-US" w:eastAsia="zh-CN"/>
        </w:rPr>
        <w:t>327.03万元</w:t>
      </w:r>
      <w:r>
        <w:rPr>
          <w:rFonts w:hint="eastAsia" w:ascii="仿宋_GB2312" w:hAnsi="ˎ̥" w:eastAsia="仿宋_GB2312"/>
          <w:sz w:val="32"/>
          <w:szCs w:val="32"/>
        </w:rPr>
        <w:t>，占</w:t>
      </w:r>
      <w:r>
        <w:rPr>
          <w:rFonts w:hint="eastAsia" w:ascii="仿宋_GB2312" w:hAnsi="ˎ̥" w:eastAsia="仿宋_GB2312"/>
          <w:sz w:val="32"/>
          <w:szCs w:val="32"/>
          <w:lang w:val="en-US" w:eastAsia="zh-CN"/>
        </w:rPr>
        <w:t>3.64</w:t>
      </w:r>
      <w:r>
        <w:rPr>
          <w:rFonts w:hint="eastAsia" w:ascii="仿宋_GB2312" w:hAnsi="ˎ̥" w:eastAsia="仿宋_GB2312"/>
          <w:sz w:val="32"/>
          <w:szCs w:val="32"/>
        </w:rPr>
        <w:t>%。</w:t>
      </w:r>
    </w:p>
    <w:p>
      <w:pPr>
        <w:numPr>
          <w:ilvl w:val="0"/>
          <w:numId w:val="4"/>
        </w:numPr>
        <w:spacing w:line="578" w:lineRule="exact"/>
        <w:ind w:left="0" w:leftChars="0" w:firstLine="640" w:firstLineChars="200"/>
        <w:rPr>
          <w:rFonts w:hint="eastAsia" w:ascii="楷体" w:hAnsi="楷体" w:eastAsia="楷体" w:cs="楷体"/>
          <w:sz w:val="32"/>
          <w:szCs w:val="32"/>
        </w:rPr>
      </w:pPr>
      <w:bookmarkStart w:id="88" w:name="_Toc22318_WPSOffice_Level2"/>
      <w:bookmarkStart w:id="89" w:name="_Toc21701_WPSOffice_Level2"/>
      <w:bookmarkStart w:id="90" w:name="_Toc25136_WPSOffice_Level2"/>
      <w:bookmarkStart w:id="91" w:name="_Toc29364_WPSOffice_Level2"/>
      <w:bookmarkStart w:id="92" w:name="_Toc15415_WPSOffice_Level2"/>
      <w:bookmarkStart w:id="93" w:name="_Toc9502_WPSOffice_Level2"/>
      <w:r>
        <w:rPr>
          <w:rFonts w:hint="eastAsia" w:ascii="楷体" w:hAnsi="楷体" w:eastAsia="楷体" w:cs="楷体"/>
          <w:sz w:val="32"/>
          <w:szCs w:val="32"/>
        </w:rPr>
        <w:t>一般公共预算财政拨款支出决算具体情况。</w:t>
      </w:r>
      <w:bookmarkEnd w:id="88"/>
      <w:bookmarkEnd w:id="89"/>
      <w:bookmarkEnd w:id="90"/>
      <w:bookmarkEnd w:id="91"/>
      <w:bookmarkEnd w:id="92"/>
      <w:bookmarkEnd w:id="93"/>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w:t>
      </w:r>
      <w:r>
        <w:rPr>
          <w:rFonts w:hint="eastAsia" w:ascii="仿宋_GB2312" w:hAnsi="ˎ̥" w:eastAsia="仿宋_GB2312"/>
          <w:sz w:val="32"/>
          <w:szCs w:val="32"/>
        </w:rPr>
        <w:t>度一般公共预算财政拨款支出年初预算为</w:t>
      </w:r>
      <w:r>
        <w:rPr>
          <w:rFonts w:hint="eastAsia" w:ascii="仿宋_GB2312" w:hAnsi="ˎ̥" w:eastAsia="仿宋_GB2312"/>
          <w:sz w:val="32"/>
          <w:szCs w:val="32"/>
          <w:lang w:val="en-US" w:eastAsia="zh-CN"/>
        </w:rPr>
        <w:t>9546.28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9059.35</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94.90</w:t>
      </w:r>
      <w:r>
        <w:rPr>
          <w:rFonts w:hint="eastAsia" w:ascii="仿宋_GB2312" w:hAnsi="ˎ̥" w:eastAsia="仿宋_GB2312"/>
          <w:sz w:val="32"/>
          <w:szCs w:val="32"/>
        </w:rPr>
        <w:t>%。其中：</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1. 公共安全支出（类）法院（款）行政运行（项）。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4897.73</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4940.61</w:t>
      </w:r>
      <w:r>
        <w:rPr>
          <w:rFonts w:hint="eastAsia" w:ascii="仿宋_GB2312" w:hAnsi="ˎ̥" w:eastAsia="仿宋_GB2312"/>
          <w:sz w:val="32"/>
          <w:szCs w:val="32"/>
        </w:rPr>
        <w:t>万元，完成初预算的</w:t>
      </w:r>
      <w:r>
        <w:rPr>
          <w:rFonts w:hint="eastAsia" w:ascii="仿宋_GB2312" w:hAnsi="ˎ̥" w:eastAsia="仿宋_GB2312"/>
          <w:sz w:val="32"/>
          <w:szCs w:val="32"/>
          <w:lang w:val="en-US" w:eastAsia="zh-CN"/>
        </w:rPr>
        <w:t>100.87</w:t>
      </w:r>
      <w:r>
        <w:rPr>
          <w:rFonts w:hint="eastAsia" w:ascii="仿宋_GB2312" w:hAnsi="ˎ̥" w:eastAsia="仿宋_GB2312"/>
          <w:sz w:val="32"/>
          <w:szCs w:val="32"/>
        </w:rPr>
        <w:t>%。决算数</w:t>
      </w:r>
      <w:r>
        <w:rPr>
          <w:rFonts w:hint="eastAsia" w:ascii="仿宋_GB2312" w:hAnsi="ˎ̥" w:eastAsia="仿宋_GB2312"/>
          <w:sz w:val="32"/>
          <w:szCs w:val="32"/>
          <w:lang w:eastAsia="zh-CN"/>
        </w:rPr>
        <w:t>大</w:t>
      </w:r>
      <w:r>
        <w:rPr>
          <w:rFonts w:hint="eastAsia" w:ascii="仿宋_GB2312" w:hAnsi="ˎ̥" w:eastAsia="仿宋_GB2312"/>
          <w:sz w:val="32"/>
          <w:szCs w:val="32"/>
        </w:rPr>
        <w:t>于预算数的主要原因：主要是由于新一年度人员工资情况的变化、正常预算误差以及系统自提比例设置原因，导致预算数值偏</w:t>
      </w:r>
      <w:r>
        <w:rPr>
          <w:rFonts w:hint="eastAsia" w:ascii="仿宋_GB2312" w:hAnsi="ˎ̥" w:eastAsia="仿宋_GB2312"/>
          <w:sz w:val="32"/>
          <w:szCs w:val="32"/>
          <w:lang w:eastAsia="zh-CN"/>
        </w:rPr>
        <w:t>小</w:t>
      </w:r>
      <w:r>
        <w:rPr>
          <w:rFonts w:hint="eastAsia" w:ascii="仿宋_GB2312" w:hAnsi="ˎ̥" w:eastAsia="仿宋_GB2312"/>
          <w:sz w:val="32"/>
          <w:szCs w:val="32"/>
        </w:rPr>
        <w:t>，故决算数</w:t>
      </w:r>
      <w:r>
        <w:rPr>
          <w:rFonts w:hint="eastAsia" w:ascii="仿宋_GB2312" w:hAnsi="ˎ̥" w:eastAsia="仿宋_GB2312"/>
          <w:sz w:val="32"/>
          <w:szCs w:val="32"/>
          <w:lang w:eastAsia="zh-CN"/>
        </w:rPr>
        <w:t>大</w:t>
      </w:r>
      <w:r>
        <w:rPr>
          <w:rFonts w:hint="eastAsia" w:ascii="仿宋_GB2312" w:hAnsi="ˎ̥" w:eastAsia="仿宋_GB2312"/>
          <w:sz w:val="32"/>
          <w:szCs w:val="32"/>
        </w:rPr>
        <w:t>于预算数。</w:t>
      </w:r>
    </w:p>
    <w:p>
      <w:pPr>
        <w:ind w:firstLine="640" w:firstLineChars="200"/>
        <w:rPr>
          <w:rFonts w:hint="eastAsia"/>
        </w:rPr>
      </w:pPr>
      <w:r>
        <w:rPr>
          <w:rFonts w:hint="eastAsia" w:ascii="仿宋_GB2312" w:hAnsi="ˎ̥" w:eastAsia="仿宋_GB2312"/>
          <w:sz w:val="32"/>
          <w:szCs w:val="32"/>
        </w:rPr>
        <w:t>2. 公共安全支出（类）法院（款）</w:t>
      </w:r>
      <w:r>
        <w:rPr>
          <w:rFonts w:hint="eastAsia" w:ascii="仿宋_GB2312" w:hAnsi="ˎ̥" w:eastAsia="仿宋_GB2312"/>
          <w:sz w:val="32"/>
          <w:szCs w:val="32"/>
          <w:lang w:eastAsia="zh-CN"/>
        </w:rPr>
        <w:t>一般行政管理事务</w:t>
      </w:r>
      <w:r>
        <w:rPr>
          <w:rFonts w:hint="eastAsia" w:ascii="仿宋_GB2312" w:hAnsi="ˎ̥" w:eastAsia="仿宋_GB2312"/>
          <w:sz w:val="32"/>
          <w:szCs w:val="32"/>
        </w:rPr>
        <w:t>（项）。年初预算为</w:t>
      </w:r>
      <w:r>
        <w:rPr>
          <w:rFonts w:hint="eastAsia" w:ascii="仿宋_GB2312" w:hAnsi="ˎ̥" w:eastAsia="仿宋_GB2312"/>
          <w:sz w:val="32"/>
          <w:szCs w:val="32"/>
          <w:lang w:val="en-US" w:eastAsia="zh-CN"/>
        </w:rPr>
        <w:t>353.60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348.77</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98.63</w:t>
      </w:r>
      <w:r>
        <w:rPr>
          <w:rFonts w:hint="eastAsia" w:ascii="仿宋_GB2312" w:hAnsi="ˎ̥" w:eastAsia="仿宋_GB2312"/>
          <w:sz w:val="32"/>
          <w:szCs w:val="32"/>
        </w:rPr>
        <w:t>%，</w:t>
      </w:r>
      <w:r>
        <w:rPr>
          <w:rFonts w:hint="eastAsia" w:ascii="仿宋_GB2312" w:hAnsi="ˎ̥" w:eastAsia="仿宋_GB2312" w:cs="Times New Roman"/>
          <w:sz w:val="32"/>
          <w:szCs w:val="32"/>
        </w:rPr>
        <w:t>决算数</w:t>
      </w:r>
      <w:r>
        <w:rPr>
          <w:rFonts w:hint="eastAsia" w:ascii="仿宋_GB2312" w:hAnsi="ˎ̥" w:eastAsia="仿宋_GB2312" w:cs="Times New Roman"/>
          <w:sz w:val="32"/>
          <w:szCs w:val="32"/>
          <w:lang w:eastAsia="zh-CN"/>
        </w:rPr>
        <w:t>与</w:t>
      </w:r>
      <w:r>
        <w:rPr>
          <w:rFonts w:hint="eastAsia" w:ascii="仿宋_GB2312" w:hAnsi="ˎ̥" w:eastAsia="仿宋_GB2312" w:cs="Times New Roman"/>
          <w:sz w:val="32"/>
          <w:szCs w:val="32"/>
        </w:rPr>
        <w:t>预算数</w:t>
      </w:r>
      <w:r>
        <w:rPr>
          <w:rFonts w:hint="eastAsia" w:ascii="仿宋_GB2312" w:hAnsi="ˎ̥" w:eastAsia="仿宋_GB2312" w:cs="Times New Roman"/>
          <w:sz w:val="32"/>
          <w:szCs w:val="32"/>
          <w:lang w:eastAsia="zh-CN"/>
        </w:rPr>
        <w:t>基本持平</w:t>
      </w:r>
      <w:r>
        <w:rPr>
          <w:rFonts w:hint="eastAsia" w:ascii="仿宋_GB2312" w:hAnsi="ˎ̥" w:eastAsia="仿宋_GB2312" w:cs="Times New Roman"/>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val="en-US" w:eastAsia="zh-CN"/>
        </w:rPr>
        <w:t>3</w:t>
      </w:r>
      <w:r>
        <w:rPr>
          <w:rFonts w:hint="eastAsia" w:ascii="仿宋_GB2312" w:hAnsi="ˎ̥" w:eastAsia="仿宋_GB2312"/>
          <w:sz w:val="32"/>
          <w:szCs w:val="32"/>
        </w:rPr>
        <w:t>. 公共安全支出（类）法院（款）案件审判（项）。年初预算为</w:t>
      </w:r>
      <w:r>
        <w:rPr>
          <w:rFonts w:hint="eastAsia" w:ascii="仿宋_GB2312" w:hAnsi="ˎ̥" w:eastAsia="仿宋_GB2312"/>
          <w:sz w:val="32"/>
          <w:szCs w:val="32"/>
          <w:lang w:val="en-US" w:eastAsia="zh-CN"/>
        </w:rPr>
        <w:t>1080.92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1250.41</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115.68</w:t>
      </w:r>
      <w:r>
        <w:rPr>
          <w:rFonts w:hint="eastAsia" w:ascii="仿宋_GB2312" w:hAnsi="ˎ̥" w:eastAsia="仿宋_GB2312"/>
          <w:sz w:val="32"/>
          <w:szCs w:val="32"/>
        </w:rPr>
        <w:t>%，</w:t>
      </w:r>
      <w:r>
        <w:rPr>
          <w:rFonts w:hint="eastAsia" w:ascii="仿宋_GB2312" w:hAnsi="ˎ̥" w:eastAsia="仿宋_GB2312" w:cs="Times New Roman"/>
          <w:sz w:val="32"/>
          <w:szCs w:val="32"/>
        </w:rPr>
        <w:t>决算数</w:t>
      </w:r>
      <w:r>
        <w:rPr>
          <w:rFonts w:hint="eastAsia" w:ascii="仿宋_GB2312" w:hAnsi="ˎ̥" w:eastAsia="仿宋_GB2312" w:cs="Times New Roman"/>
          <w:sz w:val="32"/>
          <w:szCs w:val="32"/>
          <w:lang w:eastAsia="zh-CN"/>
        </w:rPr>
        <w:t>比</w:t>
      </w:r>
      <w:r>
        <w:rPr>
          <w:rFonts w:hint="eastAsia" w:ascii="仿宋_GB2312" w:hAnsi="ˎ̥" w:eastAsia="仿宋_GB2312" w:cs="Times New Roman"/>
          <w:sz w:val="32"/>
          <w:szCs w:val="32"/>
        </w:rPr>
        <w:t>预算数</w:t>
      </w:r>
      <w:r>
        <w:rPr>
          <w:rFonts w:hint="eastAsia" w:ascii="仿宋_GB2312" w:hAnsi="ˎ̥" w:eastAsia="仿宋_GB2312" w:cs="Times New Roman"/>
          <w:sz w:val="32"/>
          <w:szCs w:val="32"/>
          <w:lang w:eastAsia="zh-CN"/>
        </w:rPr>
        <w:t>多，主要是在实际工作中，随着办案量的增加，各方面的办案费用需求也随之增加</w:t>
      </w:r>
      <w:r>
        <w:rPr>
          <w:rFonts w:hint="eastAsia" w:ascii="仿宋_GB2312" w:hAnsi="ˎ̥" w:eastAsia="仿宋_GB2312" w:cs="Times New Roman"/>
          <w:sz w:val="32"/>
          <w:szCs w:val="32"/>
        </w:rPr>
        <w:t>。</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val="en-US" w:eastAsia="zh-CN"/>
        </w:rPr>
        <w:t>4</w:t>
      </w:r>
      <w:r>
        <w:rPr>
          <w:rFonts w:hint="eastAsia" w:ascii="仿宋_GB2312" w:hAnsi="ˎ̥" w:eastAsia="仿宋_GB2312"/>
          <w:sz w:val="32"/>
          <w:szCs w:val="32"/>
        </w:rPr>
        <w:t>.公共安全支出（类）法院（款）</w:t>
      </w:r>
      <w:r>
        <w:rPr>
          <w:rFonts w:hint="eastAsia" w:ascii="仿宋_GB2312" w:hAnsi="ˎ̥" w:eastAsia="仿宋_GB2312"/>
          <w:sz w:val="32"/>
          <w:szCs w:val="32"/>
          <w:lang w:eastAsia="zh-CN"/>
        </w:rPr>
        <w:t>“两庭”建设</w:t>
      </w:r>
      <w:r>
        <w:rPr>
          <w:rFonts w:hint="eastAsia" w:ascii="仿宋_GB2312" w:hAnsi="ˎ̥" w:eastAsia="仿宋_GB2312"/>
          <w:sz w:val="32"/>
          <w:szCs w:val="32"/>
        </w:rPr>
        <w:t>（项）。年初预算为</w:t>
      </w:r>
      <w:r>
        <w:rPr>
          <w:rFonts w:hint="eastAsia" w:ascii="仿宋_GB2312" w:hAnsi="ˎ̥" w:eastAsia="仿宋_GB2312"/>
          <w:sz w:val="32"/>
          <w:szCs w:val="32"/>
          <w:lang w:val="en-US" w:eastAsia="zh-CN"/>
        </w:rPr>
        <w:t>190.67</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170.</w:t>
      </w:r>
      <w:r>
        <w:rPr>
          <w:rFonts w:hint="eastAsia" w:ascii="仿宋_GB2312" w:hAnsi="ˎ̥" w:eastAsia="仿宋_GB2312" w:cs="Times New Roman"/>
          <w:sz w:val="32"/>
          <w:szCs w:val="32"/>
          <w:lang w:val="en-US" w:eastAsia="zh-CN"/>
        </w:rPr>
        <w:t>75</w:t>
      </w:r>
      <w:r>
        <w:rPr>
          <w:rFonts w:hint="eastAsia" w:ascii="仿宋_GB2312" w:hAnsi="ˎ̥" w:eastAsia="仿宋_GB2312" w:cs="Times New Roman"/>
          <w:sz w:val="32"/>
          <w:szCs w:val="32"/>
        </w:rPr>
        <w:t>万元，完成年初预算的</w:t>
      </w:r>
      <w:r>
        <w:rPr>
          <w:rFonts w:hint="eastAsia" w:ascii="仿宋_GB2312" w:hAnsi="ˎ̥" w:eastAsia="仿宋_GB2312" w:cs="Times New Roman"/>
          <w:sz w:val="32"/>
          <w:szCs w:val="32"/>
          <w:lang w:val="en-US" w:eastAsia="zh-CN"/>
        </w:rPr>
        <w:t>89.55</w:t>
      </w:r>
      <w:r>
        <w:rPr>
          <w:rFonts w:hint="eastAsia" w:ascii="仿宋_GB2312" w:hAnsi="ˎ̥" w:eastAsia="仿宋_GB2312" w:cs="Times New Roman"/>
          <w:sz w:val="32"/>
          <w:szCs w:val="32"/>
        </w:rPr>
        <w:t>%，决算数</w:t>
      </w:r>
      <w:r>
        <w:rPr>
          <w:rFonts w:hint="eastAsia" w:ascii="仿宋_GB2312" w:hAnsi="ˎ̥" w:eastAsia="仿宋_GB2312" w:cs="Times New Roman"/>
          <w:sz w:val="32"/>
          <w:szCs w:val="32"/>
          <w:lang w:eastAsia="zh-CN"/>
        </w:rPr>
        <w:t>小于</w:t>
      </w:r>
      <w:r>
        <w:rPr>
          <w:rFonts w:hint="eastAsia" w:ascii="仿宋_GB2312" w:hAnsi="ˎ̥" w:eastAsia="仿宋_GB2312" w:cs="Times New Roman"/>
          <w:sz w:val="32"/>
          <w:szCs w:val="32"/>
        </w:rPr>
        <w:t>预算数的主要原因：由于有上年结转结余资金下达及年中经费追加下达，故决算数</w:t>
      </w:r>
      <w:r>
        <w:rPr>
          <w:rFonts w:hint="eastAsia" w:ascii="仿宋_GB2312" w:hAnsi="ˎ̥" w:eastAsia="仿宋_GB2312" w:cs="Times New Roman"/>
          <w:sz w:val="32"/>
          <w:szCs w:val="32"/>
          <w:lang w:eastAsia="zh-CN"/>
        </w:rPr>
        <w:t>小</w:t>
      </w:r>
      <w:r>
        <w:rPr>
          <w:rFonts w:hint="eastAsia" w:ascii="仿宋_GB2312" w:hAnsi="ˎ̥" w:eastAsia="仿宋_GB2312" w:cs="Times New Roman"/>
          <w:sz w:val="32"/>
          <w:szCs w:val="32"/>
        </w:rPr>
        <w:t>于预算数</w:t>
      </w:r>
      <w:r>
        <w:rPr>
          <w:rFonts w:hint="eastAsia" w:ascii="仿宋_GB2312" w:hAnsi="ˎ̥" w:eastAsia="仿宋_GB2312" w:cs="Times New Roman"/>
          <w:sz w:val="32"/>
          <w:szCs w:val="32"/>
          <w:lang w:eastAsia="zh-CN"/>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val="en-US" w:eastAsia="zh-CN"/>
        </w:rPr>
        <w:t>5</w:t>
      </w:r>
      <w:r>
        <w:rPr>
          <w:rFonts w:hint="eastAsia" w:ascii="仿宋_GB2312" w:hAnsi="ˎ̥" w:eastAsia="仿宋_GB2312"/>
          <w:sz w:val="32"/>
          <w:szCs w:val="32"/>
        </w:rPr>
        <w:t>.公共安全支出（类）法院（款）其他法院支出（项）。年初预算为</w:t>
      </w:r>
      <w:r>
        <w:rPr>
          <w:rFonts w:hint="eastAsia" w:ascii="仿宋_GB2312" w:hAnsi="ˎ̥" w:eastAsia="仿宋_GB2312"/>
          <w:sz w:val="32"/>
          <w:szCs w:val="32"/>
          <w:lang w:val="en-US" w:eastAsia="zh-CN"/>
        </w:rPr>
        <w:t>1163.63</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399.40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34.32</w:t>
      </w:r>
      <w:r>
        <w:rPr>
          <w:rFonts w:hint="eastAsia" w:ascii="仿宋_GB2312" w:hAnsi="ˎ̥" w:eastAsia="仿宋_GB2312"/>
          <w:sz w:val="32"/>
          <w:szCs w:val="32"/>
        </w:rPr>
        <w:t>%。决算数</w:t>
      </w:r>
      <w:r>
        <w:rPr>
          <w:rFonts w:hint="eastAsia" w:ascii="仿宋_GB2312" w:hAnsi="ˎ̥" w:eastAsia="仿宋_GB2312"/>
          <w:sz w:val="32"/>
          <w:szCs w:val="32"/>
          <w:lang w:eastAsia="zh-CN"/>
        </w:rPr>
        <w:t>小</w:t>
      </w:r>
      <w:r>
        <w:rPr>
          <w:rFonts w:hint="eastAsia" w:ascii="仿宋_GB2312" w:hAnsi="ˎ̥" w:eastAsia="仿宋_GB2312"/>
          <w:sz w:val="32"/>
          <w:szCs w:val="32"/>
        </w:rPr>
        <w:t>于预算数的主要原因</w:t>
      </w:r>
      <w:r>
        <w:rPr>
          <w:rFonts w:hint="eastAsia" w:ascii="仿宋_GB2312" w:hAnsi="ˎ̥" w:eastAsia="仿宋_GB2312" w:cs="Times New Roman"/>
          <w:sz w:val="32"/>
          <w:szCs w:val="32"/>
        </w:rPr>
        <w:t>：由于有上年结转结余资金下达及年中经费追加下达，故决算数</w:t>
      </w:r>
      <w:r>
        <w:rPr>
          <w:rFonts w:hint="eastAsia" w:ascii="仿宋_GB2312" w:hAnsi="ˎ̥" w:eastAsia="仿宋_GB2312" w:cs="Times New Roman"/>
          <w:sz w:val="32"/>
          <w:szCs w:val="32"/>
          <w:lang w:eastAsia="zh-CN"/>
        </w:rPr>
        <w:t>小于</w:t>
      </w:r>
      <w:r>
        <w:rPr>
          <w:rFonts w:hint="eastAsia" w:ascii="仿宋_GB2312" w:hAnsi="ˎ̥" w:eastAsia="仿宋_GB2312" w:cs="Times New Roman"/>
          <w:sz w:val="32"/>
          <w:szCs w:val="32"/>
        </w:rPr>
        <w:t>预算数。</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val="en-US" w:eastAsia="zh-CN"/>
        </w:rPr>
        <w:t>6</w:t>
      </w:r>
      <w:r>
        <w:rPr>
          <w:rFonts w:hint="eastAsia" w:ascii="仿宋_GB2312" w:hAnsi="ˎ̥" w:eastAsia="仿宋_GB2312"/>
          <w:sz w:val="32"/>
          <w:szCs w:val="32"/>
        </w:rPr>
        <w:t>.社会保障和就业支出（类）行政事业单位养老支出（款）机关事业单位基本养老保险缴费支出（项）。年初预算为3</w:t>
      </w:r>
      <w:r>
        <w:rPr>
          <w:rFonts w:hint="eastAsia" w:ascii="仿宋_GB2312" w:hAnsi="ˎ̥" w:eastAsia="仿宋_GB2312" w:cs="Times New Roman"/>
          <w:sz w:val="32"/>
          <w:szCs w:val="32"/>
          <w:lang w:val="en-US" w:eastAsia="zh-CN"/>
        </w:rPr>
        <w:t>84.00</w:t>
      </w:r>
      <w:r>
        <w:rPr>
          <w:rFonts w:hint="eastAsia" w:ascii="仿宋_GB2312" w:hAnsi="ˎ̥" w:eastAsia="仿宋_GB2312" w:cs="Times New Roman"/>
          <w:sz w:val="32"/>
          <w:szCs w:val="32"/>
        </w:rPr>
        <w:t>万元，支出决算为</w:t>
      </w:r>
      <w:r>
        <w:rPr>
          <w:rFonts w:hint="eastAsia" w:ascii="仿宋_GB2312" w:hAnsi="ˎ̥" w:eastAsia="仿宋_GB2312" w:cs="Times New Roman"/>
          <w:sz w:val="32"/>
          <w:szCs w:val="32"/>
          <w:lang w:val="en-US" w:eastAsia="zh-CN"/>
        </w:rPr>
        <w:t>326.75</w:t>
      </w:r>
      <w:r>
        <w:rPr>
          <w:rFonts w:hint="eastAsia" w:ascii="仿宋_GB2312" w:hAnsi="ˎ̥" w:eastAsia="仿宋_GB2312" w:cs="Times New Roman"/>
          <w:sz w:val="32"/>
          <w:szCs w:val="32"/>
        </w:rPr>
        <w:t>万元，完成年初预算的</w:t>
      </w:r>
      <w:r>
        <w:rPr>
          <w:rFonts w:hint="eastAsia" w:ascii="仿宋_GB2312" w:hAnsi="ˎ̥" w:eastAsia="仿宋_GB2312" w:cs="Times New Roman"/>
          <w:sz w:val="32"/>
          <w:szCs w:val="32"/>
          <w:lang w:val="en-US" w:eastAsia="zh-CN"/>
        </w:rPr>
        <w:t>85.09</w:t>
      </w:r>
      <w:r>
        <w:rPr>
          <w:rFonts w:hint="eastAsia" w:ascii="仿宋_GB2312" w:hAnsi="ˎ̥" w:eastAsia="仿宋_GB2312" w:cs="Times New Roman"/>
          <w:sz w:val="32"/>
          <w:szCs w:val="32"/>
        </w:rPr>
        <w:t>%。决算数小于预算数的主要原因：由于正常预算误差以及系统自提比例设置原因，导致预算数值偏大，故决算数小于预算数。</w:t>
      </w:r>
    </w:p>
    <w:p>
      <w:pPr>
        <w:ind w:firstLine="640" w:firstLineChars="200"/>
        <w:rPr>
          <w:rFonts w:hint="eastAsia" w:ascii="仿宋_GB2312" w:hAnsi="ˎ̥" w:eastAsia="仿宋_GB2312"/>
          <w:sz w:val="32"/>
          <w:szCs w:val="32"/>
          <w:highlight w:val="yellow"/>
        </w:rPr>
      </w:pPr>
      <w:r>
        <w:rPr>
          <w:rFonts w:hint="eastAsia" w:ascii="仿宋_GB2312" w:hAnsi="ˎ̥" w:eastAsia="仿宋_GB2312"/>
          <w:sz w:val="32"/>
          <w:szCs w:val="32"/>
          <w:lang w:val="en-US" w:eastAsia="zh-CN"/>
        </w:rPr>
        <w:t>7</w:t>
      </w:r>
      <w:r>
        <w:rPr>
          <w:rFonts w:hint="eastAsia" w:ascii="仿宋_GB2312" w:hAnsi="ˎ̥" w:eastAsia="仿宋_GB2312"/>
          <w:sz w:val="32"/>
          <w:szCs w:val="32"/>
        </w:rPr>
        <w:t>.社会保障和就业支出（类）抚恤（款）其他优抚支出（项）。年初预算为</w:t>
      </w:r>
      <w:r>
        <w:rPr>
          <w:rFonts w:hint="eastAsia" w:ascii="仿宋_GB2312" w:hAnsi="ˎ̥" w:eastAsia="仿宋_GB2312"/>
          <w:sz w:val="32"/>
          <w:szCs w:val="32"/>
          <w:lang w:val="en-US" w:eastAsia="zh-CN"/>
        </w:rPr>
        <w:t>3.83</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5.39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140.73</w:t>
      </w:r>
      <w:r>
        <w:rPr>
          <w:rFonts w:hint="eastAsia" w:ascii="仿宋_GB2312" w:hAnsi="ˎ̥" w:eastAsia="仿宋_GB2312"/>
          <w:sz w:val="32"/>
          <w:szCs w:val="32"/>
        </w:rPr>
        <w:t>%，决算数</w:t>
      </w:r>
      <w:r>
        <w:rPr>
          <w:rFonts w:hint="eastAsia" w:ascii="仿宋_GB2312" w:hAnsi="ˎ̥" w:eastAsia="仿宋_GB2312"/>
          <w:sz w:val="32"/>
          <w:szCs w:val="32"/>
          <w:lang w:eastAsia="zh-CN"/>
        </w:rPr>
        <w:t>大</w:t>
      </w:r>
      <w:r>
        <w:rPr>
          <w:rFonts w:hint="eastAsia" w:ascii="仿宋_GB2312" w:hAnsi="ˎ̥" w:eastAsia="仿宋_GB2312"/>
          <w:sz w:val="32"/>
          <w:szCs w:val="32"/>
        </w:rPr>
        <w:t>于预算数的主要原因：</w:t>
      </w:r>
      <w:r>
        <w:rPr>
          <w:rFonts w:hint="eastAsia" w:ascii="仿宋_GB2312" w:hAnsi="ˎ̥" w:eastAsia="仿宋_GB2312" w:cs="Times New Roman"/>
          <w:sz w:val="32"/>
          <w:szCs w:val="32"/>
          <w:lang w:eastAsia="zh-CN"/>
        </w:rPr>
        <w:t>一是由于编制年初预算时的人数与年度执行中有不一致；二是考虑到2022年遗属补助发放政策可能发生的变化，在预算编制时适当调整一些经费以备发放。综上，故该项经费决算数大于预算数。</w:t>
      </w:r>
    </w:p>
    <w:p>
      <w:pPr>
        <w:ind w:firstLine="640" w:firstLineChars="200"/>
        <w:rPr>
          <w:rFonts w:hint="eastAsia" w:ascii="仿宋_GB2312" w:hAnsi="ˎ̥" w:eastAsia="仿宋_GB2312"/>
          <w:sz w:val="32"/>
          <w:szCs w:val="32"/>
          <w:highlight w:val="yellow"/>
        </w:rPr>
      </w:pPr>
      <w:r>
        <w:rPr>
          <w:rFonts w:hint="eastAsia" w:ascii="仿宋_GB2312" w:hAnsi="ˎ̥" w:eastAsia="仿宋_GB2312"/>
          <w:sz w:val="32"/>
          <w:szCs w:val="32"/>
          <w:lang w:val="en-US" w:eastAsia="zh-CN"/>
        </w:rPr>
        <w:t>8</w:t>
      </w:r>
      <w:r>
        <w:rPr>
          <w:rFonts w:hint="eastAsia" w:ascii="仿宋_GB2312" w:hAnsi="ˎ̥" w:eastAsia="仿宋_GB2312"/>
          <w:sz w:val="32"/>
          <w:szCs w:val="32"/>
        </w:rPr>
        <w:t>.卫生健康支出（类）行政事业单位医疗（款）行政单位医疗（项）。年初预算为</w:t>
      </w:r>
      <w:r>
        <w:rPr>
          <w:rFonts w:hint="eastAsia" w:ascii="仿宋_GB2312" w:hAnsi="ˎ̥" w:eastAsia="仿宋_GB2312"/>
          <w:sz w:val="32"/>
          <w:szCs w:val="32"/>
          <w:lang w:val="en-US" w:eastAsia="zh-CN"/>
        </w:rPr>
        <w:t>182.11</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151.00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82.92</w:t>
      </w:r>
      <w:r>
        <w:rPr>
          <w:rFonts w:hint="eastAsia" w:ascii="仿宋_GB2312" w:hAnsi="ˎ̥" w:eastAsia="仿宋_GB2312"/>
          <w:sz w:val="32"/>
          <w:szCs w:val="32"/>
        </w:rPr>
        <w:t>%，决算数小于预算数</w:t>
      </w:r>
      <w:r>
        <w:rPr>
          <w:rFonts w:hint="eastAsia" w:ascii="仿宋_GB2312" w:hAnsi="ˎ̥" w:eastAsia="仿宋_GB2312" w:cs="Times New Roman"/>
          <w:sz w:val="32"/>
          <w:szCs w:val="32"/>
        </w:rPr>
        <w:t>，主要原因是：由于正常预算误差以及系统自提比例设置原因，导致实际预算数值偏大，故决算数小于预算数。</w:t>
      </w:r>
    </w:p>
    <w:p>
      <w:pPr>
        <w:ind w:firstLine="640" w:firstLineChars="200"/>
        <w:rPr>
          <w:rFonts w:hint="eastAsia" w:ascii="仿宋_GB2312" w:hAnsi="ˎ̥" w:eastAsia="仿宋_GB2312" w:cs="Times New Roman"/>
          <w:sz w:val="32"/>
          <w:szCs w:val="32"/>
        </w:rPr>
      </w:pPr>
      <w:r>
        <w:rPr>
          <w:rFonts w:hint="eastAsia" w:ascii="仿宋_GB2312" w:hAnsi="ˎ̥" w:eastAsia="仿宋_GB2312"/>
          <w:sz w:val="32"/>
          <w:szCs w:val="32"/>
          <w:lang w:val="en-US" w:eastAsia="zh-CN"/>
        </w:rPr>
        <w:t>9</w:t>
      </w:r>
      <w:r>
        <w:rPr>
          <w:rFonts w:hint="eastAsia" w:ascii="仿宋_GB2312" w:hAnsi="ˎ̥" w:eastAsia="仿宋_GB2312"/>
          <w:sz w:val="32"/>
          <w:szCs w:val="32"/>
        </w:rPr>
        <w:t>.卫生健康支出（类）行政事业单位医疗（款）公务员医疗补助（项）。年初预算为</w:t>
      </w:r>
      <w:r>
        <w:rPr>
          <w:rFonts w:hint="eastAsia" w:ascii="仿宋_GB2312" w:hAnsi="ˎ̥" w:eastAsia="仿宋_GB2312"/>
          <w:sz w:val="32"/>
          <w:szCs w:val="32"/>
          <w:lang w:val="en-US" w:eastAsia="zh-CN"/>
        </w:rPr>
        <w:t>264.99</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403.99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152.45</w:t>
      </w:r>
      <w:r>
        <w:rPr>
          <w:rFonts w:hint="eastAsia" w:ascii="仿宋_GB2312" w:hAnsi="ˎ̥" w:eastAsia="仿宋_GB2312" w:cs="Times New Roman"/>
          <w:sz w:val="32"/>
          <w:szCs w:val="32"/>
        </w:rPr>
        <w:t>%，</w:t>
      </w:r>
      <w:r>
        <w:rPr>
          <w:rFonts w:hint="eastAsia" w:ascii="仿宋_GB2312" w:hAnsi="ˎ̥" w:eastAsia="仿宋_GB2312" w:cs="Times New Roman"/>
          <w:sz w:val="32"/>
          <w:szCs w:val="32"/>
          <w:lang w:eastAsia="zh-CN"/>
        </w:rPr>
        <w:t>主要原因是</w:t>
      </w:r>
      <w:r>
        <w:rPr>
          <w:rFonts w:hint="eastAsia" w:ascii="仿宋_GB2312" w:hAnsi="ˎ̥" w:eastAsia="仿宋_GB2312" w:cs="Times New Roman"/>
          <w:sz w:val="32"/>
          <w:szCs w:val="32"/>
        </w:rPr>
        <w:t>由于正常预算误差以及系统自提比例设置原因，导致实际预算数值偏大，故决算数</w:t>
      </w:r>
      <w:r>
        <w:rPr>
          <w:rFonts w:hint="eastAsia" w:ascii="仿宋_GB2312" w:hAnsi="ˎ̥" w:eastAsia="仿宋_GB2312" w:cs="Times New Roman"/>
          <w:sz w:val="32"/>
          <w:szCs w:val="32"/>
          <w:lang w:eastAsia="zh-CN"/>
        </w:rPr>
        <w:t>大</w:t>
      </w:r>
      <w:r>
        <w:rPr>
          <w:rFonts w:hint="eastAsia" w:ascii="仿宋_GB2312" w:hAnsi="ˎ̥" w:eastAsia="仿宋_GB2312" w:cs="Times New Roman"/>
          <w:sz w:val="32"/>
          <w:szCs w:val="32"/>
        </w:rPr>
        <w:t>于预算数。</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val="en-US" w:eastAsia="zh-CN"/>
        </w:rPr>
        <w:t>10</w:t>
      </w:r>
      <w:r>
        <w:rPr>
          <w:rFonts w:hint="eastAsia" w:ascii="仿宋_GB2312" w:hAnsi="ˎ̥" w:eastAsia="仿宋_GB2312"/>
          <w:sz w:val="32"/>
          <w:szCs w:val="32"/>
        </w:rPr>
        <w:t>.住房保障支出（类）住房改革支出（款）住房公积金（项）。年初预算为</w:t>
      </w:r>
      <w:r>
        <w:rPr>
          <w:rFonts w:hint="eastAsia" w:ascii="仿宋_GB2312" w:hAnsi="ˎ̥" w:eastAsia="仿宋_GB2312"/>
          <w:sz w:val="32"/>
          <w:szCs w:val="32"/>
          <w:lang w:val="en-US" w:eastAsia="zh-CN"/>
        </w:rPr>
        <w:t>273.59</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327.03</w:t>
      </w:r>
      <w:r>
        <w:rPr>
          <w:rFonts w:hint="eastAsia" w:ascii="仿宋_GB2312" w:hAnsi="ˎ̥" w:eastAsia="仿宋_GB2312"/>
          <w:sz w:val="32"/>
          <w:szCs w:val="32"/>
        </w:rPr>
        <w:t>万元，完成年初预算的1</w:t>
      </w:r>
      <w:r>
        <w:rPr>
          <w:rFonts w:hint="eastAsia" w:ascii="仿宋_GB2312" w:hAnsi="ˎ̥" w:eastAsia="仿宋_GB2312"/>
          <w:sz w:val="32"/>
          <w:szCs w:val="32"/>
          <w:lang w:val="en-US" w:eastAsia="zh-CN"/>
        </w:rPr>
        <w:t>19.53</w:t>
      </w:r>
      <w:r>
        <w:rPr>
          <w:rFonts w:hint="eastAsia" w:ascii="仿宋_GB2312" w:hAnsi="ˎ̥" w:eastAsia="仿宋_GB2312"/>
          <w:sz w:val="32"/>
          <w:szCs w:val="32"/>
        </w:rPr>
        <w:t>%，决算数大于预算数，主要原因是：一是工资标准及人数的变动导致该项经费也相应增加；二是年初预算编制的系统生成数据与年度执行数据有差距，该项经费年中追加下达，故最后决算数有所增长。</w:t>
      </w:r>
    </w:p>
    <w:p>
      <w:pPr>
        <w:spacing w:line="578" w:lineRule="exact"/>
        <w:ind w:firstLine="627" w:firstLineChars="196"/>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tabs>
          <w:tab w:val="center" w:pos="4473"/>
        </w:tabs>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年度财政拨款基本支出</w:t>
      </w:r>
      <w:r>
        <w:rPr>
          <w:rFonts w:hint="eastAsia" w:ascii="仿宋_GB2312" w:hAnsi="ˎ̥" w:eastAsia="仿宋_GB2312"/>
          <w:sz w:val="32"/>
          <w:szCs w:val="32"/>
          <w:lang w:val="en-US" w:eastAsia="zh-CN"/>
        </w:rPr>
        <w:t>6889.12</w:t>
      </w:r>
      <w:r>
        <w:rPr>
          <w:rFonts w:hint="eastAsia" w:ascii="仿宋_GB2312" w:hAnsi="ˎ̥" w:eastAsia="仿宋_GB2312"/>
          <w:sz w:val="32"/>
          <w:szCs w:val="32"/>
        </w:rPr>
        <w:t>万元，其中：人员经费</w:t>
      </w:r>
      <w:r>
        <w:rPr>
          <w:rFonts w:hint="eastAsia" w:ascii="仿宋_GB2312" w:hAnsi="ˎ̥" w:eastAsia="仿宋_GB2312"/>
          <w:sz w:val="32"/>
          <w:szCs w:val="32"/>
          <w:lang w:val="en-US" w:eastAsia="zh-CN"/>
        </w:rPr>
        <w:t>6154.03</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hint="eastAsia" w:ascii="仿宋_GB2312" w:hAnsi="ˎ̥" w:eastAsia="仿宋_GB2312"/>
          <w:sz w:val="32"/>
          <w:szCs w:val="32"/>
          <w:lang w:val="en-US" w:eastAsia="zh-CN"/>
        </w:rPr>
        <w:t>735.09</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专用设备购置、基础设施建设、大型修缮、信息网络及软件购置更新</w:t>
      </w:r>
      <w:r>
        <w:rPr>
          <w:rFonts w:hint="eastAsia" w:ascii="仿宋_GB2312" w:hAnsi="ˎ̥" w:eastAsia="仿宋_GB2312"/>
          <w:sz w:val="32"/>
          <w:szCs w:val="32"/>
          <w:lang w:eastAsia="zh-CN"/>
        </w:rPr>
        <w:t>、</w:t>
      </w:r>
      <w:r>
        <w:rPr>
          <w:rFonts w:hint="eastAsia" w:ascii="仿宋_GB2312" w:hAnsi="ˎ̥" w:eastAsia="仿宋_GB2312"/>
          <w:sz w:val="32"/>
          <w:szCs w:val="32"/>
        </w:rPr>
        <w:t>公务用车购置、其他交通工具购置、。</w:t>
      </w:r>
    </w:p>
    <w:p>
      <w:pPr>
        <w:tabs>
          <w:tab w:val="center" w:pos="4473"/>
        </w:tabs>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年度政府性基金预算财政拨款支出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22</w:t>
      </w:r>
      <w:r>
        <w:rPr>
          <w:rFonts w:hint="eastAsia" w:ascii="仿宋_GB2312" w:hAnsi="ˎ̥" w:eastAsia="仿宋_GB2312"/>
          <w:sz w:val="32"/>
          <w:szCs w:val="32"/>
          <w:lang w:eastAsia="zh-CN"/>
        </w:rPr>
        <w:t>年</w:t>
      </w:r>
      <w:r>
        <w:rPr>
          <w:rFonts w:hint="eastAsia" w:ascii="仿宋_GB2312" w:hAnsi="ˎ̥" w:eastAsia="仿宋_GB2312"/>
          <w:sz w:val="32"/>
          <w:szCs w:val="32"/>
        </w:rPr>
        <w:t>度持平。</w:t>
      </w:r>
    </w:p>
    <w:p>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年度政府性基金预算财政拨款支出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pPr>
        <w:tabs>
          <w:tab w:val="center" w:pos="4473"/>
        </w:tabs>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年度政府性基金预算财政拨款支出年初预算为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tabs>
          <w:tab w:val="center" w:pos="4473"/>
        </w:tabs>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年度国有资本经营预算财政拨款支出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元。</w:t>
      </w:r>
    </w:p>
    <w:p>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年度国有资本经营预算财政拨款支出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pPr>
        <w:tabs>
          <w:tab w:val="center" w:pos="4473"/>
        </w:tabs>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年度国有资本经营预算财政拨款支出年初预算为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spacing w:line="578" w:lineRule="exact"/>
        <w:ind w:firstLine="627" w:firstLineChars="196"/>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pPr>
        <w:spacing w:line="578"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pPr>
        <w:spacing w:line="578" w:lineRule="exact"/>
        <w:rPr>
          <w:rFonts w:hint="eastAsia" w:ascii="仿宋_GB2312" w:hAnsi="ˎ̥" w:eastAsia="仿宋_GB2312"/>
          <w:sz w:val="32"/>
          <w:szCs w:val="32"/>
        </w:rPr>
      </w:pPr>
      <w:r>
        <w:rPr>
          <w:rFonts w:hint="eastAsia" w:ascii="仿宋_GB2312" w:hAnsi="ˎ̥" w:eastAsia="仿宋_GB2312"/>
          <w:sz w:val="32"/>
          <w:szCs w:val="32"/>
        </w:rPr>
        <w:t xml:space="preserve">    202</w:t>
      </w:r>
      <w:r>
        <w:rPr>
          <w:rFonts w:ascii="仿宋_GB2312" w:hAnsi="ˎ̥" w:eastAsia="仿宋_GB2312"/>
          <w:sz w:val="32"/>
          <w:szCs w:val="32"/>
        </w:rPr>
        <w:t>3</w:t>
      </w:r>
      <w:r>
        <w:rPr>
          <w:rFonts w:hint="eastAsia" w:ascii="仿宋_GB2312" w:hAnsi="ˎ̥" w:eastAsia="仿宋_GB2312"/>
          <w:sz w:val="32"/>
          <w:szCs w:val="32"/>
        </w:rPr>
        <w:t>年度财政拨款“三公”经费支出预算为</w:t>
      </w:r>
      <w:r>
        <w:rPr>
          <w:rFonts w:hint="eastAsia" w:ascii="仿宋_GB2312" w:hAnsi="ˎ̥" w:eastAsia="仿宋_GB2312"/>
          <w:sz w:val="32"/>
          <w:szCs w:val="32"/>
          <w:lang w:val="en-US" w:eastAsia="zh-CN"/>
        </w:rPr>
        <w:t>130.50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74.55</w:t>
      </w:r>
      <w:r>
        <w:rPr>
          <w:rFonts w:hint="eastAsia" w:ascii="仿宋_GB2312" w:hAnsi="ˎ̥" w:eastAsia="仿宋_GB2312"/>
          <w:sz w:val="32"/>
          <w:szCs w:val="32"/>
        </w:rPr>
        <w:t>万元，完成预算的</w:t>
      </w:r>
      <w:r>
        <w:rPr>
          <w:rFonts w:hint="eastAsia" w:ascii="仿宋_GB2312" w:hAnsi="ˎ̥" w:eastAsia="仿宋_GB2312"/>
          <w:sz w:val="32"/>
          <w:szCs w:val="32"/>
          <w:lang w:val="en-US" w:eastAsia="zh-CN"/>
        </w:rPr>
        <w:t>57.13</w:t>
      </w:r>
      <w:r>
        <w:rPr>
          <w:rFonts w:hint="eastAsia" w:ascii="仿宋_GB2312" w:hAnsi="ˎ̥" w:eastAsia="仿宋_GB2312"/>
          <w:sz w:val="32"/>
          <w:szCs w:val="32"/>
        </w:rPr>
        <w:t>%，</w:t>
      </w:r>
      <w:r>
        <w:rPr>
          <w:rFonts w:ascii="仿宋_GB2312" w:hAnsi="ˎ̥" w:eastAsia="仿宋_GB2312"/>
          <w:sz w:val="32"/>
          <w:szCs w:val="32"/>
        </w:rPr>
        <w:t>与</w:t>
      </w:r>
      <w:r>
        <w:rPr>
          <w:rFonts w:hint="eastAsia" w:ascii="仿宋_GB2312" w:hAnsi="ˎ̥" w:eastAsia="仿宋_GB2312"/>
          <w:sz w:val="32"/>
          <w:szCs w:val="32"/>
        </w:rPr>
        <w:t>2022年度</w:t>
      </w:r>
      <w:r>
        <w:rPr>
          <w:rFonts w:ascii="仿宋_GB2312" w:hAnsi="ˎ̥" w:eastAsia="仿宋_GB2312"/>
          <w:sz w:val="32"/>
          <w:szCs w:val="32"/>
        </w:rPr>
        <w:t>相比，</w:t>
      </w:r>
      <w:r>
        <w:rPr>
          <w:rFonts w:hint="eastAsia" w:ascii="仿宋_GB2312" w:hAnsi="ˎ̥" w:eastAsia="仿宋_GB2312"/>
          <w:sz w:val="32"/>
          <w:szCs w:val="32"/>
        </w:rPr>
        <w:t>“三公”经费支出增加</w:t>
      </w:r>
      <w:r>
        <w:rPr>
          <w:rFonts w:hint="eastAsia" w:ascii="仿宋_GB2312" w:hAnsi="ˎ̥" w:eastAsia="仿宋_GB2312"/>
          <w:sz w:val="32"/>
          <w:szCs w:val="32"/>
          <w:lang w:val="en-US" w:eastAsia="zh-CN"/>
        </w:rPr>
        <w:t>32.5</w:t>
      </w:r>
      <w:r>
        <w:rPr>
          <w:rFonts w:hint="eastAsia" w:ascii="仿宋_GB2312" w:hAnsi="ˎ̥" w:eastAsia="仿宋_GB2312" w:cs="Times New Roman"/>
          <w:sz w:val="32"/>
          <w:szCs w:val="32"/>
        </w:rPr>
        <w:t>万元</w:t>
      </w:r>
      <w:r>
        <w:rPr>
          <w:rFonts w:ascii="仿宋_GB2312" w:hAnsi="ˎ̥" w:eastAsia="仿宋_GB2312" w:cs="Times New Roman"/>
          <w:sz w:val="32"/>
          <w:szCs w:val="32"/>
        </w:rPr>
        <w:t>，增长</w:t>
      </w:r>
      <w:r>
        <w:rPr>
          <w:rFonts w:hint="eastAsia" w:ascii="仿宋_GB2312" w:hAnsi="ˎ̥" w:eastAsia="仿宋_GB2312" w:cs="Times New Roman"/>
          <w:sz w:val="32"/>
          <w:szCs w:val="32"/>
          <w:lang w:val="en-US" w:eastAsia="zh-CN"/>
        </w:rPr>
        <w:t>33.16</w:t>
      </w:r>
      <w:r>
        <w:rPr>
          <w:rFonts w:hint="eastAsia" w:ascii="仿宋_GB2312" w:hAnsi="ˎ̥" w:eastAsia="仿宋_GB2312" w:cs="Times New Roman"/>
          <w:sz w:val="32"/>
          <w:szCs w:val="32"/>
        </w:rPr>
        <w:t>%，</w:t>
      </w:r>
      <w:r>
        <w:rPr>
          <w:rFonts w:ascii="仿宋_GB2312" w:hAnsi="ˎ̥" w:eastAsia="仿宋_GB2312" w:cs="Times New Roman"/>
          <w:sz w:val="32"/>
          <w:szCs w:val="32"/>
        </w:rPr>
        <w:t>主要原因是</w:t>
      </w:r>
      <w:r>
        <w:rPr>
          <w:rFonts w:hint="eastAsia" w:ascii="仿宋_GB2312" w:hAnsi="ˎ̥" w:eastAsia="仿宋_GB2312" w:cs="Times New Roman"/>
          <w:sz w:val="32"/>
          <w:szCs w:val="32"/>
          <w:lang w:eastAsia="zh-CN"/>
        </w:rPr>
        <w:t>我院</w:t>
      </w:r>
      <w:r>
        <w:rPr>
          <w:rFonts w:hint="eastAsia" w:ascii="仿宋_GB2312" w:hAnsi="ˎ̥" w:eastAsia="仿宋_GB2312" w:cs="Times New Roman"/>
          <w:sz w:val="32"/>
          <w:szCs w:val="32"/>
          <w:lang w:val="en-US" w:eastAsia="zh-CN"/>
        </w:rPr>
        <w:t>2023年增加了公务用车购置费的预算</w:t>
      </w:r>
      <w:r>
        <w:rPr>
          <w:rFonts w:hint="eastAsia" w:ascii="仿宋_GB2312" w:hAnsi="ˎ̥" w:eastAsia="仿宋_GB2312" w:cs="Times New Roman"/>
          <w:sz w:val="32"/>
          <w:szCs w:val="32"/>
        </w:rPr>
        <w:t>。</w:t>
      </w:r>
    </w:p>
    <w:p>
      <w:pPr>
        <w:spacing w:line="578" w:lineRule="exact"/>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2023年度财政拨款“三公”经费支出决算中，因公出国（境）费支出决算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万元；公务用车购置及运行维护费支出决算</w:t>
      </w:r>
      <w:r>
        <w:rPr>
          <w:rFonts w:hint="eastAsia" w:ascii="仿宋_GB2312" w:hAnsi="ˎ̥" w:eastAsia="仿宋_GB2312"/>
          <w:sz w:val="32"/>
          <w:szCs w:val="32"/>
          <w:lang w:val="en-US" w:eastAsia="zh-CN"/>
        </w:rPr>
        <w:t>74.35</w:t>
      </w:r>
      <w:r>
        <w:rPr>
          <w:rFonts w:hint="eastAsia" w:ascii="仿宋_GB2312" w:hAnsi="ˎ̥" w:eastAsia="仿宋_GB2312"/>
          <w:sz w:val="32"/>
          <w:szCs w:val="32"/>
        </w:rPr>
        <w:t>万元，占</w:t>
      </w:r>
      <w:r>
        <w:rPr>
          <w:rFonts w:hint="eastAsia" w:ascii="仿宋_GB2312" w:hAnsi="ˎ̥" w:eastAsia="仿宋_GB2312"/>
          <w:sz w:val="32"/>
          <w:szCs w:val="32"/>
          <w:lang w:val="en-US" w:eastAsia="zh-CN"/>
        </w:rPr>
        <w:t>99.73</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0.2</w:t>
      </w:r>
      <w:r>
        <w:rPr>
          <w:rFonts w:hint="eastAsia" w:ascii="仿宋_GB2312" w:hAnsi="ˎ̥" w:eastAsia="仿宋_GB2312"/>
          <w:sz w:val="32"/>
          <w:szCs w:val="32"/>
        </w:rPr>
        <w:t>万元，占</w:t>
      </w:r>
      <w:r>
        <w:rPr>
          <w:rFonts w:hint="eastAsia" w:ascii="仿宋_GB2312" w:hAnsi="ˎ̥" w:eastAsia="仿宋_GB2312"/>
          <w:sz w:val="32"/>
          <w:szCs w:val="32"/>
          <w:lang w:val="en-US" w:eastAsia="zh-CN"/>
        </w:rPr>
        <w:t>0.27</w:t>
      </w:r>
      <w:r>
        <w:rPr>
          <w:rFonts w:hint="eastAsia" w:ascii="仿宋_GB2312" w:hAnsi="ˎ̥" w:eastAsia="仿宋_GB2312"/>
          <w:sz w:val="32"/>
          <w:szCs w:val="32"/>
        </w:rPr>
        <w:t>%。具体情况如下：</w:t>
      </w:r>
    </w:p>
    <w:p>
      <w:pPr>
        <w:spacing w:line="578"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spacing w:line="578" w:lineRule="exact"/>
        <w:rPr>
          <w:rFonts w:hint="eastAsia" w:ascii="仿宋_GB2312" w:hAnsi="ˎ̥" w:eastAsia="仿宋_GB2312"/>
          <w:sz w:val="32"/>
          <w:szCs w:val="32"/>
        </w:rPr>
      </w:pPr>
      <w:r>
        <w:rPr>
          <w:rFonts w:hint="eastAsia" w:ascii="仿宋_GB2312" w:hAnsi="ˎ̥" w:eastAsia="仿宋_GB2312"/>
          <w:b/>
          <w:sz w:val="32"/>
          <w:szCs w:val="32"/>
        </w:rPr>
        <w:t xml:space="preserve">    2.公务用车购置及运行维护费支出</w:t>
      </w:r>
      <w:r>
        <w:rPr>
          <w:rFonts w:hint="eastAsia" w:ascii="仿宋_GB2312" w:hAnsi="ˎ̥" w:eastAsia="仿宋_GB2312"/>
          <w:sz w:val="32"/>
          <w:szCs w:val="32"/>
          <w:lang w:val="en-US" w:eastAsia="zh-CN"/>
        </w:rPr>
        <w:t>74.35</w:t>
      </w:r>
      <w:r>
        <w:rPr>
          <w:rFonts w:hint="eastAsia" w:ascii="仿宋_GB2312" w:hAnsi="ˎ̥" w:eastAsia="仿宋_GB2312"/>
          <w:sz w:val="32"/>
          <w:szCs w:val="32"/>
        </w:rPr>
        <w:t>万元。其中：</w:t>
      </w:r>
    </w:p>
    <w:p>
      <w:pPr>
        <w:spacing w:line="578"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公务用车购置支出</w:t>
      </w:r>
      <w:r>
        <w:rPr>
          <w:rFonts w:hint="eastAsia" w:ascii="仿宋_GB2312" w:hAnsi="ˎ̥" w:eastAsia="仿宋_GB2312"/>
          <w:sz w:val="32"/>
          <w:szCs w:val="32"/>
          <w:lang w:val="en-US" w:eastAsia="zh-CN"/>
        </w:rPr>
        <w:t>45.30</w:t>
      </w:r>
      <w:r>
        <w:rPr>
          <w:rFonts w:hint="eastAsia" w:ascii="仿宋_GB2312" w:hAnsi="ˎ̥" w:eastAsia="仿宋_GB2312"/>
          <w:sz w:val="32"/>
          <w:szCs w:val="32"/>
        </w:rPr>
        <w:t>万元，全年购置公务用车</w:t>
      </w:r>
      <w:r>
        <w:rPr>
          <w:rFonts w:hint="eastAsia" w:ascii="仿宋_GB2312" w:hAnsi="ˎ̥" w:eastAsia="仿宋_GB2312"/>
          <w:sz w:val="32"/>
          <w:szCs w:val="32"/>
          <w:lang w:val="en-US" w:eastAsia="zh-CN"/>
        </w:rPr>
        <w:t>1</w:t>
      </w:r>
      <w:r>
        <w:rPr>
          <w:rFonts w:hint="eastAsia" w:ascii="仿宋_GB2312" w:hAnsi="ˎ̥" w:eastAsia="仿宋_GB2312"/>
          <w:sz w:val="32"/>
          <w:szCs w:val="32"/>
        </w:rPr>
        <w:t>辆，主要用于</w:t>
      </w:r>
      <w:r>
        <w:rPr>
          <w:rFonts w:hint="eastAsia" w:ascii="仿宋_GB2312" w:hAnsi="ˎ̥" w:eastAsia="仿宋_GB2312"/>
          <w:sz w:val="32"/>
          <w:szCs w:val="32"/>
          <w:lang w:eastAsia="zh-CN"/>
        </w:rPr>
        <w:t>执法执勤</w:t>
      </w:r>
      <w:r>
        <w:rPr>
          <w:rFonts w:hint="eastAsia" w:ascii="仿宋_GB2312" w:hAnsi="ˎ̥" w:eastAsia="仿宋_GB2312"/>
          <w:sz w:val="32"/>
          <w:szCs w:val="32"/>
        </w:rPr>
        <w:t>，年末公务用车保有量</w:t>
      </w:r>
      <w:r>
        <w:rPr>
          <w:rFonts w:hint="eastAsia" w:ascii="仿宋_GB2312" w:hAnsi="ˎ̥" w:eastAsia="仿宋_GB2312"/>
          <w:sz w:val="32"/>
          <w:szCs w:val="32"/>
          <w:lang w:val="en-US" w:eastAsia="zh-CN"/>
        </w:rPr>
        <w:t>17</w:t>
      </w:r>
      <w:r>
        <w:rPr>
          <w:rFonts w:hint="eastAsia" w:ascii="仿宋_GB2312" w:hAnsi="ˎ̥" w:eastAsia="仿宋_GB2312"/>
          <w:sz w:val="32"/>
          <w:szCs w:val="32"/>
        </w:rPr>
        <w:t>辆。</w:t>
      </w:r>
    </w:p>
    <w:p>
      <w:pPr>
        <w:spacing w:line="578"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eastAsia" w:ascii="仿宋_GB2312" w:hAnsi="ˎ̥" w:eastAsia="仿宋_GB2312"/>
          <w:sz w:val="32"/>
          <w:szCs w:val="32"/>
          <w:lang w:val="en-US" w:eastAsia="zh-CN"/>
        </w:rPr>
        <w:t>29.05</w:t>
      </w:r>
      <w:r>
        <w:rPr>
          <w:rFonts w:hint="eastAsia" w:ascii="仿宋_GB2312" w:hAnsi="ˎ̥" w:eastAsia="仿宋_GB2312"/>
          <w:sz w:val="32"/>
          <w:szCs w:val="32"/>
        </w:rPr>
        <w:t>万元，</w:t>
      </w:r>
      <w:r>
        <w:rPr>
          <w:rFonts w:hint="eastAsia" w:ascii="仿宋_GB2312" w:hAnsi="ˎ̥" w:eastAsia="仿宋_GB2312" w:cs="Times New Roman"/>
          <w:sz w:val="32"/>
          <w:szCs w:val="32"/>
        </w:rPr>
        <w:t>主要用于支付公务车辆保险、年检、维修维护及油料费等公务用车运维费</w:t>
      </w:r>
      <w:r>
        <w:rPr>
          <w:rFonts w:hint="eastAsia" w:ascii="仿宋_GB2312" w:hAnsi="ˎ̥" w:eastAsia="仿宋_GB2312"/>
          <w:sz w:val="32"/>
          <w:szCs w:val="32"/>
        </w:rPr>
        <w:t>。</w:t>
      </w:r>
    </w:p>
    <w:p>
      <w:pPr>
        <w:spacing w:line="578" w:lineRule="exact"/>
        <w:ind w:firstLine="640" w:firstLineChars="200"/>
        <w:rPr>
          <w:rFonts w:hint="eastAsia" w:ascii="仿宋_GB2312" w:hAnsi="ˎ̥" w:eastAsia="仿宋_GB2312"/>
          <w:bCs/>
          <w:sz w:val="32"/>
          <w:szCs w:val="32"/>
        </w:rPr>
      </w:pPr>
      <w:r>
        <w:rPr>
          <w:rFonts w:hint="eastAsia" w:ascii="仿宋_GB2312" w:hAnsi="ˎ̥" w:eastAsia="仿宋_GB2312"/>
          <w:bCs/>
          <w:sz w:val="32"/>
          <w:szCs w:val="32"/>
        </w:rPr>
        <w:t>公务用车购置及运行维护费支出决算数</w:t>
      </w:r>
      <w:r>
        <w:rPr>
          <w:rFonts w:hint="eastAsia" w:ascii="仿宋_GB2312" w:hAnsi="ˎ̥" w:eastAsia="仿宋_GB2312"/>
          <w:sz w:val="32"/>
          <w:szCs w:val="32"/>
        </w:rPr>
        <w:t>比预算数减少</w:t>
      </w:r>
      <w:r>
        <w:rPr>
          <w:rFonts w:hint="eastAsia" w:ascii="仿宋_GB2312" w:hAnsi="ˎ̥" w:eastAsia="仿宋_GB2312"/>
          <w:sz w:val="32"/>
          <w:szCs w:val="32"/>
          <w:lang w:val="en-US" w:eastAsia="zh-CN"/>
        </w:rPr>
        <w:t>36.15</w:t>
      </w:r>
      <w:r>
        <w:rPr>
          <w:rFonts w:hint="eastAsia" w:ascii="仿宋_GB2312" w:hAnsi="ˎ̥" w:eastAsia="仿宋_GB2312"/>
          <w:sz w:val="32"/>
          <w:szCs w:val="32"/>
        </w:rPr>
        <w:t>万元，下降</w:t>
      </w:r>
      <w:r>
        <w:rPr>
          <w:rFonts w:hint="eastAsia" w:ascii="仿宋_GB2312" w:hAnsi="ˎ̥" w:eastAsia="仿宋_GB2312"/>
          <w:sz w:val="32"/>
          <w:szCs w:val="32"/>
          <w:lang w:val="en-US" w:eastAsia="zh-CN"/>
        </w:rPr>
        <w:t>32.71</w:t>
      </w:r>
      <w:r>
        <w:rPr>
          <w:rFonts w:hint="eastAsia" w:ascii="仿宋_GB2312" w:hAnsi="ˎ̥" w:eastAsia="仿宋_GB2312"/>
          <w:sz w:val="32"/>
          <w:szCs w:val="32"/>
        </w:rPr>
        <w:t>%。与2022年度</w:t>
      </w:r>
      <w:r>
        <w:rPr>
          <w:rFonts w:ascii="仿宋_GB2312" w:hAnsi="ˎ̥" w:eastAsia="仿宋_GB2312"/>
          <w:sz w:val="32"/>
          <w:szCs w:val="32"/>
        </w:rPr>
        <w:t>相比，</w:t>
      </w:r>
      <w:r>
        <w:rPr>
          <w:rFonts w:hint="eastAsia" w:ascii="仿宋_GB2312" w:hAnsi="ˎ̥" w:eastAsia="仿宋_GB2312"/>
          <w:bCs/>
          <w:sz w:val="32"/>
          <w:szCs w:val="32"/>
        </w:rPr>
        <w:t>公务用车购置及运行维护费</w:t>
      </w:r>
      <w:r>
        <w:rPr>
          <w:rFonts w:hint="eastAsia" w:ascii="仿宋_GB2312" w:hAnsi="ˎ̥" w:eastAsia="仿宋_GB2312"/>
          <w:sz w:val="32"/>
          <w:szCs w:val="32"/>
        </w:rPr>
        <w:t>支出</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38.23</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sz w:val="32"/>
          <w:szCs w:val="32"/>
          <w:lang w:val="en-US" w:eastAsia="zh-CN"/>
        </w:rPr>
        <w:t>105.84</w:t>
      </w:r>
      <w:r>
        <w:rPr>
          <w:rFonts w:hint="eastAsia" w:ascii="仿宋_GB2312" w:hAnsi="ˎ̥" w:eastAsia="仿宋_GB2312"/>
          <w:sz w:val="32"/>
          <w:szCs w:val="32"/>
        </w:rPr>
        <w:t>%，主要原因是</w:t>
      </w:r>
      <w:r>
        <w:rPr>
          <w:rFonts w:hint="eastAsia" w:ascii="仿宋_GB2312" w:hAnsi="ˎ̥" w:eastAsia="仿宋_GB2312"/>
          <w:sz w:val="32"/>
          <w:szCs w:val="32"/>
          <w:lang w:eastAsia="zh-CN"/>
        </w:rPr>
        <w:t>我院</w:t>
      </w:r>
      <w:r>
        <w:rPr>
          <w:rFonts w:hint="eastAsia" w:ascii="仿宋_GB2312" w:hAnsi="ˎ̥" w:eastAsia="仿宋_GB2312"/>
          <w:sz w:val="32"/>
          <w:szCs w:val="32"/>
          <w:lang w:val="en-US" w:eastAsia="zh-CN"/>
        </w:rPr>
        <w:t>2023年购买了1辆公务用车</w:t>
      </w:r>
      <w:r>
        <w:rPr>
          <w:rFonts w:hint="eastAsia" w:ascii="仿宋_GB2312" w:hAnsi="ˎ̥" w:eastAsia="仿宋_GB2312"/>
          <w:sz w:val="32"/>
          <w:szCs w:val="32"/>
        </w:rPr>
        <w:t>。</w:t>
      </w:r>
    </w:p>
    <w:p>
      <w:pPr>
        <w:spacing w:line="578" w:lineRule="exact"/>
        <w:rPr>
          <w:rFonts w:hint="eastAsia" w:ascii="仿宋_GB2312" w:hAnsi="ˎ̥" w:eastAsia="仿宋_GB2312"/>
          <w:sz w:val="32"/>
          <w:szCs w:val="32"/>
        </w:rPr>
      </w:pPr>
      <w:r>
        <w:rPr>
          <w:rFonts w:hint="eastAsia" w:ascii="仿宋_GB2312" w:hAnsi="ˎ̥" w:eastAsia="仿宋_GB2312"/>
          <w:b/>
          <w:sz w:val="32"/>
          <w:szCs w:val="32"/>
        </w:rPr>
        <w:t xml:space="preserve">    3.公务接待费支出</w:t>
      </w:r>
      <w:r>
        <w:rPr>
          <w:rFonts w:hint="eastAsia" w:ascii="仿宋_GB2312" w:hAnsi="ˎ̥" w:eastAsia="仿宋_GB2312"/>
          <w:sz w:val="32"/>
          <w:szCs w:val="32"/>
          <w:lang w:val="en-US" w:eastAsia="zh-CN"/>
        </w:rPr>
        <w:t>0.2</w:t>
      </w:r>
      <w:r>
        <w:rPr>
          <w:rFonts w:hint="eastAsia" w:ascii="仿宋_GB2312" w:hAnsi="ˎ̥" w:eastAsia="仿宋_GB2312"/>
          <w:sz w:val="32"/>
          <w:szCs w:val="32"/>
        </w:rPr>
        <w:t>万元，其中：</w:t>
      </w:r>
    </w:p>
    <w:p>
      <w:pPr>
        <w:spacing w:line="578"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国内接待费</w:t>
      </w:r>
      <w:r>
        <w:rPr>
          <w:rFonts w:hint="eastAsia" w:ascii="仿宋_GB2312" w:hAnsi="ˎ̥" w:eastAsia="仿宋_GB2312"/>
          <w:sz w:val="32"/>
          <w:szCs w:val="32"/>
        </w:rPr>
        <w:t>支出</w:t>
      </w:r>
      <w:r>
        <w:rPr>
          <w:rFonts w:hint="eastAsia" w:ascii="仿宋_GB2312" w:hAnsi="ˎ̥" w:eastAsia="仿宋_GB2312"/>
          <w:sz w:val="32"/>
          <w:szCs w:val="32"/>
          <w:lang w:val="en-US" w:eastAsia="zh-CN"/>
        </w:rPr>
        <w:t>0.2</w:t>
      </w:r>
      <w:r>
        <w:rPr>
          <w:rFonts w:hint="eastAsia" w:ascii="仿宋_GB2312" w:hAnsi="ˎ̥" w:eastAsia="仿宋_GB2312"/>
          <w:sz w:val="32"/>
          <w:szCs w:val="32"/>
        </w:rPr>
        <w:t>万元，国内公务接待</w:t>
      </w:r>
      <w:r>
        <w:rPr>
          <w:rFonts w:hint="eastAsia" w:ascii="仿宋_GB2312" w:hAnsi="ˎ̥" w:eastAsia="仿宋_GB2312"/>
          <w:sz w:val="32"/>
          <w:szCs w:val="32"/>
          <w:lang w:val="en-US" w:eastAsia="zh-CN"/>
        </w:rPr>
        <w:t>2</w:t>
      </w:r>
      <w:r>
        <w:rPr>
          <w:rFonts w:hint="eastAsia" w:ascii="仿宋_GB2312" w:hAnsi="ˎ̥" w:eastAsia="仿宋_GB2312"/>
          <w:sz w:val="32"/>
          <w:szCs w:val="32"/>
        </w:rPr>
        <w:t>批次</w:t>
      </w:r>
      <w:r>
        <w:rPr>
          <w:rFonts w:hint="eastAsia" w:ascii="仿宋_GB2312" w:hAnsi="ˎ̥" w:eastAsia="仿宋_GB2312"/>
          <w:sz w:val="32"/>
          <w:szCs w:val="32"/>
          <w:lang w:eastAsia="zh-CN"/>
        </w:rPr>
        <w:t>，</w:t>
      </w:r>
      <w:r>
        <w:rPr>
          <w:rFonts w:hint="eastAsia" w:ascii="仿宋_GB2312" w:hAnsi="ˎ̥" w:eastAsia="仿宋_GB2312"/>
          <w:sz w:val="32"/>
          <w:szCs w:val="32"/>
        </w:rPr>
        <w:t>主要用于</w:t>
      </w:r>
      <w:r>
        <w:rPr>
          <w:rFonts w:hint="eastAsia" w:ascii="仿宋_GB2312" w:hAnsi="ˎ̥" w:eastAsia="仿宋_GB2312" w:cs="Times New Roman"/>
          <w:sz w:val="32"/>
          <w:szCs w:val="32"/>
        </w:rPr>
        <w:t>安徽法院</w:t>
      </w:r>
      <w:r>
        <w:rPr>
          <w:rFonts w:hint="eastAsia" w:ascii="仿宋_GB2312" w:hAnsi="ˎ̥" w:eastAsia="仿宋_GB2312" w:cs="Times New Roman"/>
          <w:sz w:val="32"/>
          <w:szCs w:val="32"/>
          <w:lang w:eastAsia="zh-CN"/>
        </w:rPr>
        <w:t>和</w:t>
      </w:r>
      <w:r>
        <w:rPr>
          <w:rFonts w:hint="eastAsia" w:ascii="仿宋_GB2312" w:hAnsi="ˎ̥" w:eastAsia="仿宋_GB2312" w:cs="Times New Roman"/>
          <w:sz w:val="32"/>
          <w:szCs w:val="32"/>
        </w:rPr>
        <w:t>省高院督导会议</w:t>
      </w:r>
      <w:r>
        <w:rPr>
          <w:rFonts w:hint="eastAsia" w:ascii="仿宋_GB2312" w:hAnsi="ˎ̥" w:eastAsia="仿宋_GB2312"/>
          <w:sz w:val="32"/>
          <w:szCs w:val="32"/>
        </w:rPr>
        <w:t>。</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公务接待费支出决算数比预算数减少</w:t>
      </w:r>
      <w:r>
        <w:rPr>
          <w:rFonts w:hint="eastAsia" w:ascii="仿宋_GB2312" w:hAnsi="ˎ̥" w:eastAsia="仿宋_GB2312"/>
          <w:sz w:val="32"/>
          <w:szCs w:val="32"/>
          <w:lang w:val="en-US" w:eastAsia="zh-CN"/>
        </w:rPr>
        <w:t>9.8</w:t>
      </w:r>
      <w:r>
        <w:rPr>
          <w:rFonts w:hint="eastAsia" w:ascii="仿宋_GB2312" w:hAnsi="ˎ̥" w:eastAsia="仿宋_GB2312"/>
          <w:sz w:val="32"/>
          <w:szCs w:val="32"/>
        </w:rPr>
        <w:t>万元，下降</w:t>
      </w:r>
      <w:r>
        <w:rPr>
          <w:rFonts w:hint="eastAsia" w:ascii="仿宋_GB2312" w:hAnsi="ˎ̥" w:eastAsia="仿宋_GB2312"/>
          <w:sz w:val="32"/>
          <w:szCs w:val="32"/>
          <w:lang w:val="en-US" w:eastAsia="zh-CN"/>
        </w:rPr>
        <w:t>9.80</w:t>
      </w:r>
      <w:r>
        <w:rPr>
          <w:rFonts w:hint="eastAsia" w:ascii="仿宋_GB2312" w:hAnsi="ˎ̥" w:eastAsia="仿宋_GB2312"/>
          <w:sz w:val="32"/>
          <w:szCs w:val="32"/>
        </w:rPr>
        <w:t>%。与2022年度</w:t>
      </w:r>
      <w:r>
        <w:rPr>
          <w:rFonts w:ascii="仿宋_GB2312" w:hAnsi="ˎ̥" w:eastAsia="仿宋_GB2312"/>
          <w:sz w:val="32"/>
          <w:szCs w:val="32"/>
        </w:rPr>
        <w:t>相比，</w:t>
      </w:r>
      <w:r>
        <w:rPr>
          <w:rFonts w:hint="eastAsia" w:ascii="仿宋_GB2312" w:hAnsi="ˎ̥" w:eastAsia="仿宋_GB2312"/>
          <w:bCs/>
          <w:sz w:val="32"/>
          <w:szCs w:val="32"/>
        </w:rPr>
        <w:t>公务接待费</w:t>
      </w:r>
      <w:r>
        <w:rPr>
          <w:rFonts w:hint="eastAsia" w:ascii="仿宋_GB2312" w:hAnsi="ˎ̥" w:eastAsia="仿宋_GB2312"/>
          <w:sz w:val="32"/>
          <w:szCs w:val="32"/>
        </w:rPr>
        <w:t>支出增加</w:t>
      </w:r>
      <w:r>
        <w:rPr>
          <w:rFonts w:hint="eastAsia" w:ascii="仿宋_GB2312" w:hAnsi="ˎ̥" w:eastAsia="仿宋_GB2312"/>
          <w:sz w:val="32"/>
          <w:szCs w:val="32"/>
          <w:lang w:val="en-US" w:eastAsia="zh-CN"/>
        </w:rPr>
        <w:t>0.14</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sz w:val="32"/>
          <w:szCs w:val="32"/>
          <w:lang w:val="en-US" w:eastAsia="zh-CN"/>
        </w:rPr>
        <w:t>233.33</w:t>
      </w:r>
      <w:r>
        <w:rPr>
          <w:rFonts w:hint="eastAsia" w:ascii="仿宋_GB2312" w:hAnsi="ˎ̥" w:eastAsia="仿宋_GB2312"/>
          <w:sz w:val="32"/>
          <w:szCs w:val="32"/>
        </w:rPr>
        <w:t>%，主要原因是</w:t>
      </w:r>
      <w:r>
        <w:rPr>
          <w:rFonts w:hint="eastAsia" w:ascii="仿宋_GB2312" w:hAnsi="ˎ̥" w:eastAsia="仿宋_GB2312"/>
          <w:sz w:val="32"/>
          <w:szCs w:val="32"/>
          <w:lang w:eastAsia="zh-CN"/>
        </w:rPr>
        <w:t>今年接待用餐次数和用餐人数均比上年度有所增加</w:t>
      </w:r>
      <w:r>
        <w:rPr>
          <w:rFonts w:hint="eastAsia" w:ascii="仿宋_GB2312" w:hAnsi="ˎ̥" w:eastAsia="仿宋_GB2312"/>
          <w:sz w:val="32"/>
          <w:szCs w:val="32"/>
        </w:rPr>
        <w:t>。</w:t>
      </w:r>
    </w:p>
    <w:p>
      <w:pPr>
        <w:spacing w:line="57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十、预算绩效情况说明</w:t>
      </w:r>
    </w:p>
    <w:p>
      <w:pPr>
        <w:spacing w:line="578"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根据财政预算绩效管理要求，可按照如下格式说明：根据预算管理要求，我部门（单位）组织对202</w:t>
      </w:r>
      <w:r>
        <w:rPr>
          <w:rFonts w:ascii="仿宋_GB2312" w:eastAsia="仿宋_GB2312"/>
          <w:sz w:val="32"/>
          <w:szCs w:val="32"/>
        </w:rPr>
        <w:t>3</w:t>
      </w:r>
      <w:r>
        <w:rPr>
          <w:rFonts w:hint="eastAsia" w:ascii="仿宋_GB2312" w:eastAsia="仿宋_GB2312"/>
          <w:sz w:val="32"/>
          <w:szCs w:val="32"/>
        </w:rPr>
        <w:t>年度一般公共预算项目支出全面开展绩效自评。</w:t>
      </w:r>
      <w:r>
        <w:rPr>
          <w:rFonts w:hint="eastAsia" w:ascii="仿宋_GB2312" w:eastAsia="仿宋_GB2312"/>
          <w:sz w:val="32"/>
          <w:szCs w:val="32"/>
          <w:lang w:bidi="ar"/>
        </w:rPr>
        <w:t>其中，一级项目</w:t>
      </w:r>
      <w:r>
        <w:rPr>
          <w:rFonts w:hint="eastAsia" w:ascii="仿宋_GB2312" w:eastAsia="仿宋_GB2312"/>
          <w:sz w:val="32"/>
          <w:szCs w:val="32"/>
          <w:lang w:val="en-US" w:eastAsia="zh-CN" w:bidi="ar"/>
        </w:rPr>
        <w:t>15</w:t>
      </w:r>
      <w:r>
        <w:rPr>
          <w:rFonts w:hint="eastAsia" w:ascii="仿宋_GB2312" w:eastAsia="仿宋_GB2312"/>
          <w:sz w:val="32"/>
          <w:szCs w:val="32"/>
          <w:lang w:bidi="ar"/>
        </w:rPr>
        <w:t>个，二级项目XX个，共涉及资金</w:t>
      </w:r>
      <w:r>
        <w:rPr>
          <w:rFonts w:hint="eastAsia" w:ascii="仿宋_GB2312" w:eastAsia="仿宋_GB2312"/>
          <w:sz w:val="32"/>
          <w:szCs w:val="32"/>
          <w:lang w:val="en-US" w:eastAsia="zh-CN" w:bidi="ar"/>
        </w:rPr>
        <w:t>3177.89</w:t>
      </w:r>
      <w:r>
        <w:rPr>
          <w:rFonts w:hint="eastAsia" w:ascii="仿宋_GB2312" w:eastAsia="仿宋_GB2312"/>
          <w:sz w:val="32"/>
          <w:szCs w:val="32"/>
          <w:lang w:bidi="ar"/>
        </w:rPr>
        <w:t>万元，占一般公共预算项目支出总额的</w:t>
      </w:r>
      <w:r>
        <w:rPr>
          <w:rFonts w:hint="eastAsia" w:ascii="仿宋_GB2312" w:eastAsia="仿宋_GB2312"/>
          <w:sz w:val="32"/>
          <w:szCs w:val="32"/>
          <w:lang w:val="en-US" w:eastAsia="zh-CN" w:bidi="ar"/>
        </w:rPr>
        <w:t>95.96</w:t>
      </w:r>
      <w:r>
        <w:rPr>
          <w:rFonts w:hint="eastAsia" w:ascii="仿宋_GB2312" w:eastAsia="仿宋_GB2312"/>
          <w:sz w:val="32"/>
          <w:szCs w:val="32"/>
          <w:lang w:bidi="ar"/>
        </w:rPr>
        <w:t>%。</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共组织</w:t>
      </w:r>
      <w:r>
        <w:rPr>
          <w:rFonts w:hint="eastAsia" w:ascii="仿宋_GB2312" w:hAnsi="Times New Roman" w:eastAsia="仿宋_GB2312" w:cs="Times New Roman"/>
          <w:sz w:val="32"/>
          <w:szCs w:val="32"/>
        </w:rPr>
        <w:t>对“两房（庭）及装备更新维护”</w:t>
      </w:r>
      <w:r>
        <w:rPr>
          <w:rFonts w:hint="eastAsia" w:ascii="仿宋_GB2312" w:eastAsia="仿宋_GB2312"/>
          <w:sz w:val="32"/>
          <w:szCs w:val="32"/>
        </w:rPr>
        <w:t>等</w:t>
      </w:r>
      <w:r>
        <w:rPr>
          <w:rFonts w:hint="eastAsia" w:ascii="仿宋_GB2312" w:eastAsia="仿宋_GB2312"/>
          <w:sz w:val="32"/>
          <w:szCs w:val="32"/>
          <w:lang w:val="en-US" w:eastAsia="zh-CN"/>
        </w:rPr>
        <w:t>15</w:t>
      </w:r>
      <w:r>
        <w:rPr>
          <w:rFonts w:hint="eastAsia" w:ascii="仿宋_GB2312" w:eastAsia="仿宋_GB2312"/>
          <w:sz w:val="32"/>
          <w:szCs w:val="32"/>
        </w:rPr>
        <w:t>个项目开展了部门评价，</w:t>
      </w:r>
      <w:r>
        <w:rPr>
          <w:rFonts w:hint="eastAsia" w:ascii="仿宋_GB2312" w:eastAsia="仿宋_GB2312"/>
          <w:sz w:val="32"/>
          <w:szCs w:val="32"/>
          <w:lang w:bidi="ar"/>
        </w:rPr>
        <w:t>涉及一般公共预算支出</w:t>
      </w:r>
      <w:r>
        <w:rPr>
          <w:rFonts w:hint="eastAsia" w:ascii="仿宋_GB2312" w:eastAsia="仿宋_GB2312"/>
          <w:sz w:val="32"/>
          <w:szCs w:val="32"/>
          <w:lang w:val="en-US" w:eastAsia="zh-CN" w:bidi="ar"/>
        </w:rPr>
        <w:t>3177.89</w:t>
      </w:r>
      <w:r>
        <w:rPr>
          <w:rFonts w:hint="eastAsia" w:ascii="仿宋_GB2312" w:eastAsia="仿宋_GB2312"/>
          <w:sz w:val="32"/>
          <w:szCs w:val="32"/>
          <w:lang w:bidi="ar"/>
        </w:rPr>
        <w:t>万元</w:t>
      </w:r>
      <w:r>
        <w:rPr>
          <w:rFonts w:hint="eastAsia" w:ascii="仿宋_GB2312" w:eastAsia="仿宋_GB2312"/>
          <w:sz w:val="32"/>
          <w:szCs w:val="32"/>
        </w:rPr>
        <w:t>从评价情况来看，</w:t>
      </w:r>
      <w:r>
        <w:rPr>
          <w:rFonts w:hint="eastAsia" w:ascii="仿宋_GB2312" w:eastAsia="仿宋_GB2312"/>
          <w:sz w:val="32"/>
          <w:szCs w:val="32"/>
          <w:lang w:val="en-US" w:eastAsia="zh-CN"/>
        </w:rPr>
        <w:t>11各项目均达到预定的绩效目标</w:t>
      </w:r>
      <w:r>
        <w:rPr>
          <w:rFonts w:hint="eastAsia" w:ascii="仿宋_GB2312" w:eastAsia="仿宋_GB2312"/>
          <w:sz w:val="32"/>
          <w:szCs w:val="32"/>
        </w:rPr>
        <w:t>。</w:t>
      </w:r>
    </w:p>
    <w:p>
      <w:pPr>
        <w:spacing w:line="578" w:lineRule="exact"/>
        <w:ind w:firstLine="640" w:firstLineChars="200"/>
        <w:jc w:val="left"/>
        <w:rPr>
          <w:rFonts w:hint="eastAsia" w:ascii="仿宋_GB2312" w:eastAsia="仿宋_GB2312"/>
          <w:sz w:val="32"/>
          <w:szCs w:val="32"/>
        </w:rPr>
      </w:pPr>
      <w:r>
        <w:rPr>
          <w:rFonts w:hint="eastAsia" w:ascii="仿宋_GB2312" w:eastAsia="仿宋_GB2312"/>
          <w:sz w:val="32"/>
          <w:szCs w:val="32"/>
        </w:rPr>
        <w:t>完成部门整体支出绩效评价，</w:t>
      </w:r>
      <w:r>
        <w:rPr>
          <w:rFonts w:hint="eastAsia" w:ascii="仿宋_GB2312" w:eastAsia="仿宋_GB2312"/>
          <w:sz w:val="32"/>
          <w:szCs w:val="32"/>
          <w:lang w:bidi="ar"/>
        </w:rPr>
        <w:t>涉及一般公共预算支出</w:t>
      </w:r>
      <w:r>
        <w:rPr>
          <w:rFonts w:hint="eastAsia" w:ascii="仿宋_GB2312" w:eastAsia="仿宋_GB2312"/>
          <w:sz w:val="32"/>
          <w:szCs w:val="32"/>
          <w:lang w:val="en-US" w:eastAsia="zh-CN" w:bidi="ar"/>
        </w:rPr>
        <w:t>1901.96</w:t>
      </w:r>
      <w:r>
        <w:rPr>
          <w:rFonts w:hint="eastAsia" w:ascii="仿宋_GB2312" w:eastAsia="仿宋_GB2312"/>
          <w:sz w:val="32"/>
          <w:szCs w:val="32"/>
          <w:lang w:bidi="ar"/>
        </w:rPr>
        <w:t>万元。</w:t>
      </w:r>
      <w:r>
        <w:rPr>
          <w:rFonts w:hint="eastAsia" w:ascii="仿宋_GB2312" w:eastAsia="仿宋_GB2312"/>
          <w:sz w:val="32"/>
          <w:szCs w:val="32"/>
        </w:rPr>
        <w:t>从评价情况来看，</w:t>
      </w:r>
      <w:r>
        <w:rPr>
          <w:rFonts w:hint="eastAsia" w:ascii="仿宋_GB2312" w:eastAsia="仿宋_GB2312"/>
          <w:sz w:val="32"/>
          <w:szCs w:val="32"/>
          <w:lang w:eastAsia="zh-CN"/>
        </w:rPr>
        <w:t>两个项目均达到预定的绩效目标</w:t>
      </w:r>
      <w:r>
        <w:rPr>
          <w:rFonts w:hint="eastAsia" w:ascii="仿宋_GB2312" w:eastAsia="仿宋_GB2312"/>
          <w:sz w:val="32"/>
          <w:szCs w:val="32"/>
        </w:rPr>
        <w:t>。</w:t>
      </w:r>
    </w:p>
    <w:p>
      <w:pPr>
        <w:spacing w:line="578"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lang w:eastAsia="zh-CN"/>
        </w:rPr>
        <w:t>（二）</w:t>
      </w:r>
      <w:r>
        <w:rPr>
          <w:rFonts w:hint="eastAsia" w:ascii="楷体" w:hAnsi="楷体" w:eastAsia="楷体" w:cs="楷体"/>
          <w:bCs/>
          <w:sz w:val="32"/>
          <w:szCs w:val="32"/>
        </w:rPr>
        <w:t>部门决算中项目绩效自评结果。</w:t>
      </w:r>
    </w:p>
    <w:p>
      <w:pPr>
        <w:spacing w:line="578" w:lineRule="exact"/>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lang w:val="en-US" w:eastAsia="zh-CN"/>
        </w:rPr>
        <w:t>1.</w:t>
      </w:r>
      <w:r>
        <w:rPr>
          <w:rFonts w:hint="default" w:ascii="仿宋_GB2312" w:hAnsi="Times New Roman" w:eastAsia="仿宋_GB2312" w:cs="Times New Roman"/>
          <w:sz w:val="32"/>
          <w:szCs w:val="32"/>
          <w:lang w:val="en-US" w:eastAsia="zh-CN"/>
        </w:rPr>
        <w:t>聘用制书记员</w:t>
      </w:r>
      <w:r>
        <w:rPr>
          <w:rFonts w:hint="eastAsia" w:ascii="仿宋_GB2312" w:hAnsi="Times New Roman" w:eastAsia="仿宋_GB2312" w:cs="Times New Roman"/>
          <w:sz w:val="32"/>
          <w:szCs w:val="32"/>
        </w:rPr>
        <w:t>项</w:t>
      </w:r>
      <w:r>
        <w:rPr>
          <w:rFonts w:hint="eastAsia" w:ascii="仿宋_GB2312" w:eastAsia="仿宋_GB2312"/>
          <w:sz w:val="32"/>
          <w:szCs w:val="32"/>
        </w:rPr>
        <w:t>目绩效自评表：</w:t>
      </w:r>
    </w:p>
    <w:tbl>
      <w:tblPr>
        <w:tblStyle w:val="5"/>
        <w:tblpPr w:leftFromText="180" w:rightFromText="180" w:vertAnchor="text" w:horzAnchor="page" w:tblpX="682" w:tblpY="77"/>
        <w:tblOverlap w:val="never"/>
        <w:tblW w:w="10980" w:type="dxa"/>
        <w:tblInd w:w="0" w:type="dxa"/>
        <w:shd w:val="clear" w:color="auto" w:fill="auto"/>
        <w:tblLayout w:type="autofit"/>
        <w:tblCellMar>
          <w:top w:w="0" w:type="dxa"/>
          <w:left w:w="0" w:type="dxa"/>
          <w:bottom w:w="0" w:type="dxa"/>
          <w:right w:w="0" w:type="dxa"/>
        </w:tblCellMar>
      </w:tblPr>
      <w:tblGrid>
        <w:gridCol w:w="851"/>
        <w:gridCol w:w="851"/>
        <w:gridCol w:w="1700"/>
        <w:gridCol w:w="851"/>
        <w:gridCol w:w="851"/>
        <w:gridCol w:w="851"/>
        <w:gridCol w:w="852"/>
        <w:gridCol w:w="899"/>
        <w:gridCol w:w="854"/>
        <w:gridCol w:w="853"/>
        <w:gridCol w:w="1567"/>
      </w:tblGrid>
      <w:tr>
        <w:tblPrEx>
          <w:shd w:val="clear" w:color="auto" w:fill="auto"/>
          <w:tblCellMar>
            <w:top w:w="0" w:type="dxa"/>
            <w:left w:w="0" w:type="dxa"/>
            <w:bottom w:w="0" w:type="dxa"/>
            <w:right w:w="0" w:type="dxa"/>
          </w:tblCellMar>
        </w:tblPrEx>
        <w:trPr>
          <w:trHeight w:val="510" w:hRule="atLeast"/>
        </w:trPr>
        <w:tc>
          <w:tcPr>
            <w:tcW w:w="1098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000000"/>
                <w:sz w:val="40"/>
                <w:szCs w:val="40"/>
                <w:u w:val="none"/>
              </w:rPr>
            </w:pPr>
            <w:r>
              <w:rPr>
                <w:rFonts w:hint="default" w:ascii="等线" w:hAnsi="等线" w:eastAsia="等线" w:cs="等线"/>
                <w:b/>
                <w:i w:val="0"/>
                <w:color w:val="000000"/>
                <w:kern w:val="0"/>
                <w:sz w:val="40"/>
                <w:szCs w:val="40"/>
                <w:u w:val="none"/>
                <w:lang w:val="en-US" w:eastAsia="zh-CN" w:bidi="ar"/>
              </w:rPr>
              <w:t xml:space="preserve">聘用制书记员项目支出绩效自评表 </w:t>
            </w:r>
          </w:p>
        </w:tc>
      </w:tr>
      <w:tr>
        <w:tblPrEx>
          <w:tblCellMar>
            <w:top w:w="0" w:type="dxa"/>
            <w:left w:w="0" w:type="dxa"/>
            <w:bottom w:w="0" w:type="dxa"/>
            <w:right w:w="0" w:type="dxa"/>
          </w:tblCellMar>
        </w:tblPrEx>
        <w:trPr>
          <w:trHeight w:val="5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一级指标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指标性质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年度指标值</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度量单位</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实际完成值</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完成率</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分值</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得分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未完成原因分析</w:t>
            </w:r>
          </w:p>
        </w:tc>
      </w:tr>
      <w:tr>
        <w:tblPrEx>
          <w:tblCellMar>
            <w:top w:w="0" w:type="dxa"/>
            <w:left w:w="0" w:type="dxa"/>
            <w:bottom w:w="0" w:type="dxa"/>
            <w:right w:w="0" w:type="dxa"/>
          </w:tblCellMar>
        </w:tblPrEx>
        <w:trPr>
          <w:trHeight w:val="2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产出指标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体检批数</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50.00</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54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效益指标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协助结案率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69.3</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77.00%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30.8</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人手不足，案件数量多</w:t>
            </w:r>
          </w:p>
        </w:tc>
      </w:tr>
      <w:tr>
        <w:tblPrEx>
          <w:tblCellMar>
            <w:top w:w="0" w:type="dxa"/>
            <w:left w:w="0" w:type="dxa"/>
            <w:bottom w:w="0" w:type="dxa"/>
            <w:right w:w="0" w:type="dxa"/>
          </w:tblCellMar>
        </w:tblPrEx>
        <w:trPr>
          <w:trHeight w:val="270" w:hRule="atLeast"/>
        </w:trPr>
        <w:tc>
          <w:tcPr>
            <w:tcW w:w="7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合计</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89.19</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等线" w:hAnsi="等线" w:eastAsia="等线" w:cs="等线"/>
                <w:i w:val="0"/>
                <w:color w:val="000000"/>
                <w:sz w:val="22"/>
                <w:szCs w:val="22"/>
                <w:u w:val="none"/>
              </w:rPr>
            </w:pPr>
          </w:p>
        </w:tc>
      </w:tr>
    </w:tbl>
    <w:tbl>
      <w:tblPr>
        <w:tblStyle w:val="5"/>
        <w:tblpPr w:leftFromText="180" w:rightFromText="180" w:vertAnchor="text" w:horzAnchor="page" w:tblpX="697" w:tblpY="699"/>
        <w:tblOverlap w:val="never"/>
        <w:tblW w:w="10980" w:type="dxa"/>
        <w:tblInd w:w="0" w:type="dxa"/>
        <w:shd w:val="clear" w:color="auto" w:fill="auto"/>
        <w:tblLayout w:type="autofit"/>
        <w:tblCellMar>
          <w:top w:w="0" w:type="dxa"/>
          <w:left w:w="0" w:type="dxa"/>
          <w:bottom w:w="0" w:type="dxa"/>
          <w:right w:w="0" w:type="dxa"/>
        </w:tblCellMar>
      </w:tblPr>
      <w:tblGrid>
        <w:gridCol w:w="851"/>
        <w:gridCol w:w="851"/>
        <w:gridCol w:w="1700"/>
        <w:gridCol w:w="851"/>
        <w:gridCol w:w="851"/>
        <w:gridCol w:w="851"/>
        <w:gridCol w:w="852"/>
        <w:gridCol w:w="899"/>
        <w:gridCol w:w="854"/>
        <w:gridCol w:w="853"/>
        <w:gridCol w:w="1567"/>
      </w:tblGrid>
      <w:tr>
        <w:tblPrEx>
          <w:tblCellMar>
            <w:top w:w="0" w:type="dxa"/>
            <w:left w:w="0" w:type="dxa"/>
            <w:bottom w:w="0" w:type="dxa"/>
            <w:right w:w="0" w:type="dxa"/>
          </w:tblCellMar>
        </w:tblPrEx>
        <w:trPr>
          <w:trHeight w:val="510" w:hRule="atLeast"/>
        </w:trPr>
        <w:tc>
          <w:tcPr>
            <w:tcW w:w="10980" w:type="dxa"/>
            <w:gridSpan w:val="11"/>
            <w:tcBorders>
              <w:top w:val="nil"/>
              <w:left w:val="nil"/>
              <w:bottom w:val="nil"/>
              <w:right w:val="nil"/>
            </w:tcBorders>
            <w:shd w:val="clear" w:color="auto" w:fill="auto"/>
            <w:tcMar>
              <w:top w:w="15" w:type="dxa"/>
              <w:left w:w="15" w:type="dxa"/>
              <w:right w:w="15" w:type="dxa"/>
            </w:tcMar>
            <w:vAlign w:val="center"/>
          </w:tcPr>
          <w:p>
            <w:pPr>
              <w:spacing w:line="578" w:lineRule="exact"/>
              <w:ind w:firstLine="960" w:firstLineChars="3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2.综合运行事务项目绩效自评表：</w:t>
            </w:r>
          </w:p>
          <w:p>
            <w:pPr>
              <w:keepNext w:val="0"/>
              <w:keepLines w:val="0"/>
              <w:widowControl/>
              <w:suppressLineNumbers w:val="0"/>
              <w:jc w:val="center"/>
              <w:textAlignment w:val="center"/>
              <w:rPr>
                <w:rFonts w:ascii="等线" w:hAnsi="等线" w:eastAsia="等线" w:cs="等线"/>
                <w:b/>
                <w:i w:val="0"/>
                <w:color w:val="000000"/>
                <w:sz w:val="40"/>
                <w:szCs w:val="40"/>
                <w:u w:val="none"/>
              </w:rPr>
            </w:pPr>
            <w:r>
              <w:rPr>
                <w:rFonts w:hint="default" w:ascii="等线" w:hAnsi="等线" w:eastAsia="等线" w:cs="等线"/>
                <w:b/>
                <w:i w:val="0"/>
                <w:color w:val="000000"/>
                <w:kern w:val="0"/>
                <w:sz w:val="40"/>
                <w:szCs w:val="40"/>
                <w:u w:val="none"/>
                <w:lang w:val="en-US" w:eastAsia="zh-CN" w:bidi="ar"/>
              </w:rPr>
              <w:t xml:space="preserve">综合运行事务项目支出绩效自评表 </w:t>
            </w:r>
          </w:p>
        </w:tc>
      </w:tr>
      <w:tr>
        <w:tblPrEx>
          <w:tblCellMar>
            <w:top w:w="0" w:type="dxa"/>
            <w:left w:w="0" w:type="dxa"/>
            <w:bottom w:w="0" w:type="dxa"/>
            <w:right w:w="0" w:type="dxa"/>
          </w:tblCellMar>
        </w:tblPrEx>
        <w:trPr>
          <w:trHeight w:val="5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一级指标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三级指标</w:t>
            </w:r>
          </w:p>
        </w:tc>
        <w:tc>
          <w:tcPr>
            <w:tcW w:w="8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指标性质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年度指标值</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度量单位</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实际完成值</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完成率</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分值</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得分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未完成原因分析</w:t>
            </w:r>
          </w:p>
        </w:tc>
      </w:tr>
      <w:tr>
        <w:tblPrEx>
          <w:tblCellMar>
            <w:top w:w="0" w:type="dxa"/>
            <w:left w:w="0" w:type="dxa"/>
            <w:bottom w:w="0" w:type="dxa"/>
            <w:right w:w="0" w:type="dxa"/>
          </w:tblCellMar>
        </w:tblPrEx>
        <w:trPr>
          <w:trHeight w:val="54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产出指标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足额支付人员工资</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月</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12</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50.00</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54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效益指标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协助结案率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69.3</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77.00%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40.00</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30.8</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人手不足，案件数量多</w:t>
            </w:r>
          </w:p>
        </w:tc>
      </w:tr>
      <w:tr>
        <w:tblPrEx>
          <w:tblCellMar>
            <w:top w:w="0" w:type="dxa"/>
            <w:left w:w="0" w:type="dxa"/>
            <w:bottom w:w="0" w:type="dxa"/>
            <w:right w:w="0" w:type="dxa"/>
          </w:tblCellMar>
        </w:tblPrEx>
        <w:trPr>
          <w:trHeight w:val="270" w:hRule="atLeast"/>
        </w:trPr>
        <w:tc>
          <w:tcPr>
            <w:tcW w:w="7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合计</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90.66</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等线" w:hAnsi="等线" w:eastAsia="等线" w:cs="等线"/>
                <w:i w:val="0"/>
                <w:color w:val="000000"/>
                <w:sz w:val="22"/>
                <w:szCs w:val="22"/>
                <w:u w:val="none"/>
              </w:rPr>
            </w:pPr>
          </w:p>
        </w:tc>
      </w:tr>
    </w:tbl>
    <w:p>
      <w:pPr>
        <w:spacing w:line="578" w:lineRule="exac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3.信息系统系统运行维护项目绩效自评表：</w:t>
      </w:r>
    </w:p>
    <w:tbl>
      <w:tblPr>
        <w:tblStyle w:val="5"/>
        <w:tblpPr w:leftFromText="180" w:rightFromText="180" w:vertAnchor="text" w:horzAnchor="page" w:tblpX="727" w:tblpY="520"/>
        <w:tblOverlap w:val="never"/>
        <w:tblW w:w="10980" w:type="dxa"/>
        <w:tblInd w:w="0" w:type="dxa"/>
        <w:shd w:val="clear" w:color="auto" w:fill="auto"/>
        <w:tblLayout w:type="autofit"/>
        <w:tblCellMar>
          <w:top w:w="0" w:type="dxa"/>
          <w:left w:w="0" w:type="dxa"/>
          <w:bottom w:w="0" w:type="dxa"/>
          <w:right w:w="0" w:type="dxa"/>
        </w:tblCellMar>
      </w:tblPr>
      <w:tblGrid>
        <w:gridCol w:w="850"/>
        <w:gridCol w:w="851"/>
        <w:gridCol w:w="1701"/>
        <w:gridCol w:w="851"/>
        <w:gridCol w:w="852"/>
        <w:gridCol w:w="851"/>
        <w:gridCol w:w="852"/>
        <w:gridCol w:w="899"/>
        <w:gridCol w:w="854"/>
        <w:gridCol w:w="852"/>
        <w:gridCol w:w="1567"/>
      </w:tblGrid>
      <w:tr>
        <w:tblPrEx>
          <w:shd w:val="clear" w:color="auto" w:fill="auto"/>
          <w:tblCellMar>
            <w:top w:w="0" w:type="dxa"/>
            <w:left w:w="0" w:type="dxa"/>
            <w:bottom w:w="0" w:type="dxa"/>
            <w:right w:w="0" w:type="dxa"/>
          </w:tblCellMar>
        </w:tblPrEx>
        <w:trPr>
          <w:trHeight w:val="510" w:hRule="atLeast"/>
        </w:trPr>
        <w:tc>
          <w:tcPr>
            <w:tcW w:w="1098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000000"/>
                <w:sz w:val="40"/>
                <w:szCs w:val="40"/>
                <w:u w:val="none"/>
              </w:rPr>
            </w:pPr>
            <w:r>
              <w:rPr>
                <w:rFonts w:hint="default" w:ascii="等线" w:hAnsi="等线" w:eastAsia="等线" w:cs="等线"/>
                <w:b/>
                <w:i w:val="0"/>
                <w:color w:val="000000"/>
                <w:kern w:val="0"/>
                <w:sz w:val="40"/>
                <w:szCs w:val="40"/>
                <w:u w:val="none"/>
                <w:lang w:val="en-US" w:eastAsia="zh-CN" w:bidi="ar"/>
              </w:rPr>
              <w:t xml:space="preserve">信息系统运行维护项目支出绩效自评表 </w:t>
            </w:r>
          </w:p>
        </w:tc>
      </w:tr>
      <w:tr>
        <w:tblPrEx>
          <w:tblCellMar>
            <w:top w:w="0" w:type="dxa"/>
            <w:left w:w="0" w:type="dxa"/>
            <w:bottom w:w="0" w:type="dxa"/>
            <w:right w:w="0" w:type="dxa"/>
          </w:tblCellMar>
        </w:tblPrEx>
        <w:trPr>
          <w:trHeight w:val="57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一级指标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二级指标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三级指标</w:t>
            </w:r>
          </w:p>
        </w:tc>
        <w:tc>
          <w:tcPr>
            <w:tcW w:w="8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指标性质</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年度指标值</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度量单位</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实际完成值</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完成率</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分值</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得分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rPr>
            </w:pPr>
            <w:r>
              <w:rPr>
                <w:rFonts w:hint="default" w:ascii="等线" w:hAnsi="等线" w:eastAsia="等线" w:cs="等线"/>
                <w:b/>
                <w:i w:val="0"/>
                <w:color w:val="000000"/>
                <w:kern w:val="0"/>
                <w:sz w:val="24"/>
                <w:szCs w:val="24"/>
                <w:u w:val="none"/>
                <w:lang w:val="en-US" w:eastAsia="zh-CN" w:bidi="ar"/>
              </w:rPr>
              <w:t>未完成原因分析</w:t>
            </w:r>
          </w:p>
        </w:tc>
      </w:tr>
      <w:tr>
        <w:tblPrEx>
          <w:tblCellMar>
            <w:top w:w="0" w:type="dxa"/>
            <w:left w:w="0" w:type="dxa"/>
            <w:bottom w:w="0" w:type="dxa"/>
            <w:right w:w="0" w:type="dxa"/>
          </w:tblCellMar>
        </w:tblPrEx>
        <w:trPr>
          <w:trHeight w:val="54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产出指标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数量指标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硬件采购（维护）数量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260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270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54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产出指标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数量指标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租赁网络线路时间</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月</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12</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54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产出指标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质量指标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系统故障率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54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产出指标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时效指标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系统故障修复处理时间</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小时</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0.5</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54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产出指标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时效指标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系统运行维护响应时间</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分钟</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54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效益指标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社会效益指标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协助办案率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69.3</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77.00%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7.7</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人手不足，案件数量多</w:t>
            </w:r>
          </w:p>
        </w:tc>
      </w:tr>
      <w:tr>
        <w:tblPrEx>
          <w:tblCellMar>
            <w:top w:w="0" w:type="dxa"/>
            <w:left w:w="0" w:type="dxa"/>
            <w:bottom w:w="0" w:type="dxa"/>
            <w:right w:w="0" w:type="dxa"/>
          </w:tblCellMar>
        </w:tblPrEx>
        <w:trPr>
          <w:trHeight w:val="54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效益指标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社会效益指标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主页点击量</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万人</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54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效益指标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可持续影响</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系统正常使用年限</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年</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8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满意度指标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服务对象满意度</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使用人员满意度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92</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270" w:hRule="atLeast"/>
        </w:trPr>
        <w:tc>
          <w:tcPr>
            <w:tcW w:w="770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合计</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97.4</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等线" w:hAnsi="等线" w:eastAsia="等线" w:cs="等线"/>
                <w:i w:val="0"/>
                <w:color w:val="000000"/>
                <w:sz w:val="22"/>
                <w:szCs w:val="22"/>
                <w:u w:val="none"/>
              </w:rPr>
            </w:pPr>
          </w:p>
        </w:tc>
      </w:tr>
    </w:tbl>
    <w:p>
      <w:pPr>
        <w:pStyle w:val="2"/>
        <w:rPr>
          <w:rFonts w:hint="eastAsia"/>
        </w:rPr>
      </w:pPr>
    </w:p>
    <w:p>
      <w:pPr>
        <w:spacing w:line="578"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lang w:eastAsia="zh-CN"/>
        </w:rPr>
        <w:t>（三）</w:t>
      </w:r>
      <w:r>
        <w:rPr>
          <w:rFonts w:hint="eastAsia" w:ascii="楷体" w:hAnsi="楷体" w:eastAsia="楷体" w:cs="楷体"/>
          <w:bCs/>
          <w:sz w:val="32"/>
          <w:szCs w:val="32"/>
        </w:rPr>
        <w:t>部门评价结果（预算部门填写，部门所属单位不需填写）。</w:t>
      </w:r>
    </w:p>
    <w:p>
      <w:pPr>
        <w:spacing w:line="578" w:lineRule="exact"/>
        <w:ind w:firstLine="643" w:firstLineChars="200"/>
        <w:jc w:val="center"/>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两房（庭）及装备更新维护支出绩效自评报告</w:t>
      </w:r>
    </w:p>
    <w:p>
      <w:pPr>
        <w:pStyle w:val="2"/>
        <w:rPr>
          <w:rFonts w:hint="eastAsia"/>
        </w:rPr>
      </w:pPr>
    </w:p>
    <w:p>
      <w:pPr>
        <w:spacing w:line="578"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一、项目概况    </w:t>
      </w:r>
    </w:p>
    <w:p>
      <w:pPr>
        <w:spacing w:line="578" w:lineRule="exact"/>
        <w:ind w:firstLine="640" w:firstLineChars="200"/>
        <w:rPr>
          <w:rFonts w:hint="eastAsia" w:ascii="仿宋_GB2312" w:hAnsi="Times New Roman" w:eastAsia="仿宋_GB2312" w:cs="Times New Roman"/>
          <w:sz w:val="32"/>
          <w:szCs w:val="32"/>
        </w:rPr>
      </w:pPr>
      <w:r>
        <w:rPr>
          <w:rFonts w:hint="default" w:ascii="仿宋_GB2312" w:hAnsi="Times New Roman" w:eastAsia="仿宋_GB2312" w:cs="Times New Roman"/>
          <w:sz w:val="32"/>
          <w:szCs w:val="32"/>
        </w:rPr>
        <w:t xml:space="preserve">（一）项目基本情况  </w:t>
      </w:r>
    </w:p>
    <w:p>
      <w:pPr>
        <w:spacing w:line="578" w:lineRule="exact"/>
        <w:ind w:firstLine="640" w:firstLineChars="200"/>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预算单位</w:t>
      </w:r>
      <w:r>
        <w:rPr>
          <w:rFonts w:hint="eastAsia" w:ascii="仿宋_GB2312" w:hAnsi="Times New Roman" w:eastAsia="仿宋_GB2312" w:cs="Times New Roman"/>
          <w:sz w:val="32"/>
          <w:szCs w:val="32"/>
          <w:lang w:eastAsia="zh-CN"/>
        </w:rPr>
        <w:t>：</w:t>
      </w:r>
      <w:r>
        <w:rPr>
          <w:rFonts w:hint="default" w:ascii="仿宋_GB2312" w:hAnsi="Times New Roman" w:eastAsia="仿宋_GB2312" w:cs="Times New Roman"/>
          <w:sz w:val="32"/>
          <w:szCs w:val="32"/>
        </w:rPr>
        <w:t xml:space="preserve">三亚市城郊人民法院 </w:t>
      </w:r>
    </w:p>
    <w:p>
      <w:pPr>
        <w:spacing w:line="578" w:lineRule="exact"/>
        <w:ind w:firstLine="640" w:firstLineChars="200"/>
        <w:rPr>
          <w:rFonts w:hint="eastAsia" w:ascii="仿宋_GB2312" w:hAnsi="Times New Roman" w:eastAsia="仿宋_GB2312" w:cs="Times New Roman"/>
          <w:sz w:val="32"/>
          <w:szCs w:val="32"/>
        </w:rPr>
      </w:pPr>
      <w:r>
        <w:rPr>
          <w:rFonts w:hint="default" w:ascii="仿宋_GB2312" w:hAnsi="Times New Roman" w:eastAsia="仿宋_GB2312" w:cs="Times New Roman"/>
          <w:sz w:val="32"/>
          <w:szCs w:val="32"/>
        </w:rPr>
        <w:t>项</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rPr>
        <w:t>目</w:t>
      </w:r>
      <w:r>
        <w:rPr>
          <w:rFonts w:hint="eastAsia" w:ascii="仿宋_GB2312" w:hAnsi="Times New Roman" w:eastAsia="仿宋_GB2312" w:cs="Times New Roman"/>
          <w:sz w:val="32"/>
          <w:szCs w:val="32"/>
          <w:lang w:eastAsia="zh-CN"/>
        </w:rPr>
        <w:t>：</w:t>
      </w:r>
      <w:r>
        <w:rPr>
          <w:rFonts w:hint="default" w:ascii="仿宋_GB2312" w:hAnsi="Times New Roman" w:eastAsia="仿宋_GB2312" w:cs="Times New Roman"/>
          <w:sz w:val="32"/>
          <w:szCs w:val="32"/>
        </w:rPr>
        <w:t>两房（庭）及装备更新维护</w:t>
      </w:r>
    </w:p>
    <w:p>
      <w:pPr>
        <w:spacing w:line="578" w:lineRule="exact"/>
        <w:ind w:firstLine="640" w:firstLineChars="200"/>
        <w:rPr>
          <w:rFonts w:hint="eastAsia" w:ascii="仿宋_GB2312" w:hAnsi="Times New Roman" w:eastAsia="仿宋_GB2312" w:cs="Times New Roman"/>
          <w:sz w:val="32"/>
          <w:szCs w:val="32"/>
        </w:rPr>
      </w:pPr>
      <w:r>
        <w:rPr>
          <w:rFonts w:hint="default" w:ascii="仿宋_GB2312" w:hAnsi="Times New Roman" w:eastAsia="仿宋_GB2312" w:cs="Times New Roman"/>
          <w:sz w:val="32"/>
          <w:szCs w:val="32"/>
        </w:rPr>
        <w:t>项目概述如下：</w:t>
      </w:r>
      <w:r>
        <w:rPr>
          <w:rFonts w:hint="eastAsia" w:ascii="仿宋_GB2312" w:hAnsi="Times New Roman" w:eastAsia="仿宋_GB2312" w:cs="Times New Roman"/>
          <w:sz w:val="32"/>
          <w:szCs w:val="32"/>
          <w:lang w:val="en-US" w:eastAsia="zh-CN"/>
        </w:rPr>
        <w:t>2023年度</w:t>
      </w:r>
      <w:r>
        <w:rPr>
          <w:rFonts w:hint="default" w:ascii="仿宋_GB2312" w:hAnsi="Times New Roman" w:eastAsia="仿宋_GB2312" w:cs="Times New Roman"/>
          <w:sz w:val="32"/>
          <w:szCs w:val="32"/>
        </w:rPr>
        <w:t>两房（庭）及装备更新维护</w:t>
      </w:r>
      <w:r>
        <w:rPr>
          <w:rFonts w:hint="eastAsia" w:ascii="仿宋_GB2312" w:hAnsi="Times New Roman" w:eastAsia="仿宋_GB2312" w:cs="Times New Roman"/>
          <w:sz w:val="32"/>
          <w:szCs w:val="32"/>
          <w:lang w:val="en-US" w:eastAsia="zh-CN"/>
        </w:rPr>
        <w:t>项目年初预算资金5,998,479.90元，经调整预算49,121.00元，实际下达预算5,949,358.90元，细化为6个子项目：委托业务费28,818.32元；维修（护）费514,500.00元；房屋建筑物购建9,600.00元；公务用车购置505,000元；设备购置4,841,440.00元；其他资本性支出50,000.00元。项目旨在庭室装修，购置装备，保障办案执行业务顺利开展。</w:t>
      </w:r>
      <w:r>
        <w:rPr>
          <w:rFonts w:hint="default" w:ascii="仿宋_GB2312" w:hAnsi="Times New Roman" w:eastAsia="仿宋_GB2312" w:cs="Times New Roman"/>
          <w:sz w:val="32"/>
          <w:szCs w:val="32"/>
        </w:rPr>
        <w:t xml:space="preserve">   </w:t>
      </w:r>
    </w:p>
    <w:p>
      <w:pPr>
        <w:spacing w:line="578" w:lineRule="exact"/>
        <w:ind w:firstLine="640" w:firstLineChars="200"/>
        <w:rPr>
          <w:rFonts w:hint="eastAsia" w:ascii="仿宋_GB2312" w:hAnsi="Times New Roman" w:eastAsia="仿宋_GB2312" w:cs="Times New Roman"/>
          <w:sz w:val="32"/>
          <w:szCs w:val="32"/>
        </w:rPr>
      </w:pPr>
      <w:r>
        <w:rPr>
          <w:rFonts w:hint="default" w:ascii="仿宋_GB2312" w:hAnsi="Times New Roman" w:eastAsia="仿宋_GB2312" w:cs="Times New Roman"/>
          <w:sz w:val="32"/>
          <w:szCs w:val="32"/>
        </w:rPr>
        <w:t xml:space="preserve">（二）项目年度预算绩效目标和绩效指标设定情况  </w:t>
      </w:r>
    </w:p>
    <w:p>
      <w:pPr>
        <w:spacing w:line="578"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default" w:ascii="仿宋_GB2312" w:hAnsi="Times New Roman" w:eastAsia="仿宋_GB2312" w:cs="Times New Roman"/>
          <w:sz w:val="32"/>
          <w:szCs w:val="32"/>
        </w:rPr>
        <w:t>总体目标：庭室装修，购置装备，保障办案执行业务顺利开展。</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绩效指标：2023年度两房（庭）及装备更新维护项目绩效自评总分100分，设3个指标，其中：项目经济指标1个“预算执行率”，权重10%；项目产出指标1个“维修次数”，权重50%；项目效益指标1个“协助办案率”，权重40%。</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（1）预算执行率：该指标分值10分，以“全年执行数”占“全年预算数”百分比计取分值，得分=（全年执行数/全年预算数）*100%*10。</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（2）维修次数：该指标分值50分。维修次数不少于2次时得50分；维修次数少于2次时，得分=（实际完成值/2）*100%*50。</w:t>
      </w:r>
    </w:p>
    <w:p>
      <w:pPr>
        <w:spacing w:line="578"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（3）协助办案率：该指标分值40分。协助办案率不小于90%时得40分；协助办案率小于90%时，得分=（结案数量/收案数量）*100%*40。</w:t>
      </w:r>
    </w:p>
    <w:p>
      <w:pPr>
        <w:spacing w:line="578" w:lineRule="exact"/>
        <w:ind w:firstLine="640" w:firstLineChars="200"/>
        <w:rPr>
          <w:rFonts w:hint="default"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eastAsia="zh-CN"/>
        </w:rPr>
        <w:t>3.</w:t>
      </w:r>
      <w:r>
        <w:rPr>
          <w:rFonts w:hint="default" w:ascii="仿宋_GB2312" w:hAnsi="Times New Roman" w:eastAsia="仿宋_GB2312" w:cs="Times New Roman"/>
          <w:sz w:val="32"/>
          <w:szCs w:val="32"/>
        </w:rPr>
        <w:t>当年年度目标完成情况：</w:t>
      </w:r>
      <w:r>
        <w:rPr>
          <w:rFonts w:hint="eastAsia" w:ascii="仿宋_GB2312" w:hAnsi="Times New Roman" w:eastAsia="仿宋_GB2312" w:cs="Times New Roman"/>
          <w:sz w:val="32"/>
          <w:szCs w:val="32"/>
          <w:lang w:val="en-US" w:eastAsia="zh-CN"/>
        </w:rPr>
        <w:t>2023年度两房（庭）及装备更新维护项目严格按照相关政策组织实施，项目经费支出及时，确保了法庭的正常运转。2023年项目预算资金5,998,479.90元，经调剂49,121.00元，全年实际到位5,949,358.90元，全年完成支出3,907,959.46元，预算执行率为65.69%。</w:t>
      </w:r>
    </w:p>
    <w:p>
      <w:pPr>
        <w:spacing w:line="578"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二、项目决策及资金使用管理情况</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（一）项目决策情况</w:t>
      </w:r>
    </w:p>
    <w:p>
      <w:pPr>
        <w:spacing w:line="578"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项目符合经济社会发展规划和我院年度工作计划，与我院年初计划目标相关，目标明确；项目资金分配符合我院各项财务管理规定，资金分配结果合理；项目资金申请、拨付、验收等程序符合相关管理办法。</w:t>
      </w:r>
    </w:p>
    <w:p>
      <w:pPr>
        <w:spacing w:line="578" w:lineRule="exact"/>
        <w:ind w:firstLine="640" w:firstLineChars="200"/>
        <w:rPr>
          <w:rFonts w:hint="eastAsia" w:ascii="仿宋_GB2312" w:hAnsi="Times New Roman" w:eastAsia="仿宋_GB2312" w:cs="Times New Roman"/>
          <w:sz w:val="32"/>
          <w:szCs w:val="32"/>
        </w:rPr>
      </w:pPr>
      <w:r>
        <w:rPr>
          <w:rFonts w:hint="default" w:ascii="仿宋_GB2312" w:hAnsi="Times New Roman" w:eastAsia="仿宋_GB2312" w:cs="Times New Roman"/>
          <w:sz w:val="32"/>
          <w:szCs w:val="32"/>
        </w:rPr>
        <w:t>（二）项目资金安排落实、总投入等情况</w:t>
      </w:r>
    </w:p>
    <w:p>
      <w:pPr>
        <w:spacing w:line="578" w:lineRule="exact"/>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rPr>
        <w:t>预算情况如下：</w:t>
      </w:r>
      <w:r>
        <w:rPr>
          <w:rFonts w:hint="eastAsia" w:ascii="仿宋_GB2312" w:hAnsi="Times New Roman" w:eastAsia="仿宋_GB2312" w:cs="Times New Roman"/>
          <w:sz w:val="32"/>
          <w:szCs w:val="32"/>
          <w:lang w:val="en-US" w:eastAsia="zh-CN"/>
        </w:rPr>
        <w:t>委托业务费28,818.32元，维修（护）费514,500.00元，房屋建筑物购建9,600.00元，公务用车购置505,000元，设备购置4,841,440.00元，其他资本性支出50,000.00元，合计5,949,358.90元。</w:t>
      </w:r>
    </w:p>
    <w:p>
      <w:pPr>
        <w:spacing w:line="578"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落实情况：2023年度两房（庭）及装备更新维护项目实际到位资金共计5,949,358.90元，其中：中央资金拨款5,849,358.90元，省级资金拨款100,000.00元</w:t>
      </w:r>
      <w:r>
        <w:rPr>
          <w:rFonts w:hint="default" w:ascii="仿宋_GB2312" w:hAnsi="Times New Roman" w:eastAsia="仿宋_GB2312" w:cs="Times New Roman"/>
          <w:sz w:val="32"/>
          <w:szCs w:val="32"/>
        </w:rPr>
        <w:t>。</w:t>
      </w:r>
    </w:p>
    <w:p>
      <w:pPr>
        <w:spacing w:line="578" w:lineRule="exact"/>
        <w:ind w:firstLine="640" w:firstLineChars="200"/>
        <w:rPr>
          <w:rFonts w:hint="eastAsia" w:ascii="仿宋_GB2312" w:hAnsi="Times New Roman" w:eastAsia="仿宋_GB2312" w:cs="Times New Roman"/>
          <w:sz w:val="32"/>
          <w:szCs w:val="32"/>
        </w:rPr>
      </w:pPr>
      <w:r>
        <w:rPr>
          <w:rFonts w:hint="default" w:ascii="仿宋_GB2312" w:hAnsi="Times New Roman" w:eastAsia="仿宋_GB2312" w:cs="Times New Roman"/>
          <w:sz w:val="32"/>
          <w:szCs w:val="32"/>
        </w:rPr>
        <w:t>（三）项目资金实际使用情况</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rPr>
        <w:t>资金执行情况如下：</w:t>
      </w:r>
      <w:r>
        <w:rPr>
          <w:rFonts w:hint="eastAsia" w:ascii="仿宋_GB2312" w:hAnsi="Times New Roman" w:eastAsia="仿宋_GB2312" w:cs="Times New Roman"/>
          <w:sz w:val="32"/>
          <w:szCs w:val="32"/>
          <w:lang w:val="en-US" w:eastAsia="zh-CN"/>
        </w:rPr>
        <w:t>2023年两房（庭）及装备更新维护项目实际完成支出3,907,959.46元，其中：中央资金支出3,825,546.78元，省级资金支出82,412.68元，资金支付率65.69%。</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（1）维修（护）费用支付资金500,900.31元；</w:t>
      </w:r>
    </w:p>
    <w:p>
      <w:pPr>
        <w:spacing w:line="578"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（2）设备维修维护工作人员劳务费24,831.00元；</w:t>
      </w:r>
    </w:p>
    <w:p>
      <w:pPr>
        <w:spacing w:line="578"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（3）吉阳法庭四楼档案室及审判法庭地台改造工程预算编制费、天涯法庭门卫室建设工程设计费支付资金共计9,600.00元；</w:t>
      </w:r>
    </w:p>
    <w:p>
      <w:pPr>
        <w:spacing w:line="578"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（4）办公设备购置支付资金1,152,581.20元；</w:t>
      </w:r>
    </w:p>
    <w:p>
      <w:pPr>
        <w:spacing w:line="578"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（5）专用设备购置支付资金1,746,091.18元；</w:t>
      </w:r>
    </w:p>
    <w:p>
      <w:pPr>
        <w:spacing w:line="578"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（6）信息网络及软件购置更新支付资金20,981.08元；</w:t>
      </w:r>
    </w:p>
    <w:p>
      <w:pPr>
        <w:spacing w:line="578"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（7）公务用车购置支付资金452,974.69元。</w:t>
      </w:r>
    </w:p>
    <w:p>
      <w:pPr>
        <w:spacing w:line="578" w:lineRule="exact"/>
        <w:ind w:firstLine="640" w:firstLineChars="200"/>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（四）项目资金管理情况</w:t>
      </w:r>
    </w:p>
    <w:p>
      <w:pPr>
        <w:spacing w:line="578" w:lineRule="exact"/>
        <w:ind w:firstLine="640" w:firstLineChars="200"/>
        <w:rPr>
          <w:rFonts w:hint="default"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eastAsia="zh-CN"/>
        </w:rPr>
        <w:t>根据《三亚市行政事业单位财务管理暂行办法》（三府[1999]285号）精神，结合我院实际制定《三亚市城郊人民法院财务管理制度》，为进一步加强资产管理，规范资产购买、使用行为，强化资产的管理责任，建立节约型机关，制定《三亚市城郊人民法院资产管理制度》，为加强合同管理，避免失误，提高经济效益，根据《中华人民共和国合同法》及其他有关法规的规定，结合我院实际制定《三亚市城郊人民法院合同管理规定》，为加强行政事业单位内部控制，依据《行政事业单位内部控制规范（试行）》，结合外部政策要求及行政事业单位业务特点，结合我院实际初步形成了《三亚市城郊人民法院内部控制手册（试行）》。严格按照上述管理制度的规定安排两房（庭）及装备更新维护项目资金的申请、拨付、验收程序。</w:t>
      </w:r>
    </w:p>
    <w:p>
      <w:pPr>
        <w:spacing w:line="578"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三、项目组织实施情况</w:t>
      </w:r>
    </w:p>
    <w:p>
      <w:pPr>
        <w:spacing w:line="578" w:lineRule="exact"/>
        <w:ind w:firstLine="640" w:firstLineChars="200"/>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（一）项目组织情况</w:t>
      </w:r>
    </w:p>
    <w:p>
      <w:pPr>
        <w:spacing w:line="578"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根据《三亚市城郊人民法院财务管理制度》、《三亚市城郊人民法院资产管理制度》、《三亚市城郊人民法院合同管理规定》和《三亚市城郊人民法院内部控制手册（试行）》等文件的规定，对设备的维修维护、办公设备购置、专用设备购置、公务用车购置、信息网络及软件购置更新等项目的采购支出严格按照制度执行，遵守相关审批流程，已完成的项目及时验收并支付相应款项，保障项目质量合格。</w:t>
      </w:r>
    </w:p>
    <w:p>
      <w:pPr>
        <w:spacing w:line="578" w:lineRule="exact"/>
        <w:ind w:firstLine="640" w:firstLineChars="200"/>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（二）项目管理情况</w:t>
      </w:r>
    </w:p>
    <w:p>
      <w:pPr>
        <w:spacing w:line="578" w:lineRule="exact"/>
        <w:ind w:firstLine="640" w:firstLineChars="200"/>
        <w:rPr>
          <w:rFonts w:hint="default"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eastAsia="zh-CN"/>
        </w:rPr>
        <w:t>两房（庭）及装备更新维护项目的实施工作中，根据不同项目的需要设立多个项目工作小组，依托市城郊人民法院财务室、办公室及各庭室的配合，对每个项目全程设立、实施、验收的工作流程进行监管，保障项目资金正常支付，项目实施进度顺利推进，项目质量得到保证。</w:t>
      </w:r>
    </w:p>
    <w:p>
      <w:pPr>
        <w:spacing w:line="578"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四、项目绩效情况</w:t>
      </w:r>
    </w:p>
    <w:p>
      <w:pPr>
        <w:spacing w:line="578" w:lineRule="exact"/>
        <w:ind w:firstLine="640" w:firstLineChars="200"/>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（一）项目绩效目标完成情况。</w:t>
      </w:r>
    </w:p>
    <w:p>
      <w:pPr>
        <w:spacing w:line="578"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1.项目的经济性分析</w:t>
      </w:r>
    </w:p>
    <w:p>
      <w:pPr>
        <w:spacing w:line="578"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预算执行率：2023年度两房（庭）及装备更新维护项目实际下达项目资金5,949,358.90元，全年实际支出3,907,959.46元，预算执行率为65.69%，该指标得分6.57分。</w:t>
      </w:r>
    </w:p>
    <w:p>
      <w:pPr>
        <w:spacing w:line="578"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2.项目的效率性分析 </w:t>
      </w:r>
    </w:p>
    <w:p>
      <w:pPr>
        <w:spacing w:line="578"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项目按照预算批复指标逐项实施完成，支出进度与预算年度一致，各项支出完成质量良好，效益显著，但预算执行率不高。</w:t>
      </w:r>
    </w:p>
    <w:p>
      <w:pPr>
        <w:spacing w:line="578"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3.项目的有效性分析</w:t>
      </w:r>
    </w:p>
    <w:p>
      <w:pPr>
        <w:spacing w:line="578"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2023年度，项目已基本完成庭室装修，购置装备，设备维修维护项目的资金支付进度，如：①维修（护）费用支付资金500,900.31元；②设备维修维护工作人员劳务费24,831.00元；③吉阳法庭四楼档案室及审判法庭地台改造工程预算编制费、天涯法庭门卫室建设工程设计费支付资金共计9,600.00元；④办公设备购置支付资金1,152,581.20元；⑤专用设备购置支付资金1,746,091.18元；⑥信息网络及软件购置更新支付资金20,981.08元；⑦公务用车购置支付资金452,974.69元。</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4.项目的可持续性分析</w:t>
      </w:r>
    </w:p>
    <w:p>
      <w:pPr>
        <w:spacing w:line="578"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三亚市城郊人民法院对项目规划了2024年至2026年三年预算资金的计划，2024年共计安排预算资金480.18万元，以备两房（庭）及装备更新维护项目长期运转。</w:t>
      </w:r>
    </w:p>
    <w:p>
      <w:pPr>
        <w:spacing w:line="578" w:lineRule="exact"/>
        <w:ind w:firstLine="640" w:firstLineChars="200"/>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（二）项目绩效目标未完成情况及原因分析</w:t>
      </w:r>
    </w:p>
    <w:p>
      <w:pPr>
        <w:spacing w:line="578" w:lineRule="exact"/>
        <w:ind w:firstLine="640" w:firstLineChars="200"/>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2023年，三亚市城郊人民法院已基本完成项目绩效目标，但由于人手不足，案件数量多，导致结案率未能达到预期指标。</w:t>
      </w:r>
    </w:p>
    <w:p>
      <w:pPr>
        <w:spacing w:line="578"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五、其他需要说明的问题</w:t>
      </w:r>
    </w:p>
    <w:p>
      <w:pPr>
        <w:spacing w:line="578" w:lineRule="exact"/>
        <w:ind w:firstLine="640" w:firstLineChars="200"/>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（一）后续工作计划</w:t>
      </w:r>
    </w:p>
    <w:p>
      <w:pPr>
        <w:spacing w:line="578"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2024年延续开展两房（庭）及装备更新维护项目，吸取2023年经验，适当调整2024年工作方案，更高效的完成项目目标，有效减少项目结余资金。</w:t>
      </w:r>
    </w:p>
    <w:p>
      <w:pPr>
        <w:spacing w:line="578" w:lineRule="exact"/>
        <w:ind w:firstLine="640" w:firstLineChars="200"/>
        <w:rPr>
          <w:rFonts w:hint="eastAsia" w:ascii="仿宋_GB2312" w:hAnsi="Times New Roman" w:eastAsia="仿宋_GB2312" w:cs="Times New Roman"/>
          <w:sz w:val="32"/>
          <w:szCs w:val="32"/>
        </w:rPr>
      </w:pPr>
      <w:r>
        <w:rPr>
          <w:rFonts w:hint="default" w:ascii="仿宋_GB2312" w:hAnsi="Times New Roman" w:eastAsia="仿宋_GB2312" w:cs="Times New Roman"/>
          <w:sz w:val="32"/>
          <w:szCs w:val="32"/>
        </w:rPr>
        <w:t>（二）主要经验及做法、存在问题和建议</w:t>
      </w:r>
    </w:p>
    <w:p>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经验及做法：完善项目预算编制申报；加强预算绩效管理基础知识学习，提高业务水平；在编制年度预算时，应按事前绩效目标管理要求，做好项目绩效目标的申报工作，设置项目绩效目标、绩效指标，确保项目实施过程中不偏离目标。</w:t>
      </w:r>
    </w:p>
    <w:p>
      <w:pPr>
        <w:pStyle w:val="2"/>
        <w:numPr>
          <w:ilvl w:val="0"/>
          <w:numId w:val="4"/>
        </w:numPr>
        <w:ind w:left="0" w:leftChars="0" w:firstLine="422" w:firstLineChars="200"/>
        <w:rPr>
          <w:rFonts w:hint="eastAsia"/>
        </w:rPr>
      </w:pPr>
    </w:p>
    <w:p>
      <w:pPr>
        <w:spacing w:line="578" w:lineRule="exact"/>
        <w:ind w:firstLine="640" w:firstLineChars="200"/>
        <w:rPr>
          <w:rFonts w:hint="eastAsia" w:ascii="仿宋_GB2312" w:eastAsia="仿宋_GB2312"/>
          <w:sz w:val="32"/>
          <w:szCs w:val="32"/>
        </w:rPr>
      </w:pPr>
      <w:r>
        <w:rPr>
          <w:rFonts w:hint="eastAsia" w:ascii="仿宋_GB2312" w:hAnsi="仿宋_GB2312" w:eastAsia="仿宋_GB2312" w:cs="仿宋_GB2312"/>
          <w:kern w:val="0"/>
          <w:sz w:val="32"/>
          <w:szCs w:val="32"/>
          <w:lang w:bidi="ar"/>
        </w:rPr>
        <w:t>部门评价项目数量在3个以内的，至少将1个部门评价报告向社会公开；部门评价项目数量大于3个的，至少将2个部门评价报告向社会公开。</w:t>
      </w:r>
      <w:r>
        <w:rPr>
          <w:rFonts w:hint="eastAsia" w:ascii="仿宋_GB2312" w:eastAsia="仿宋_GB2312"/>
          <w:sz w:val="32"/>
          <w:szCs w:val="32"/>
        </w:rPr>
        <w:t>报告框架可参照《海南省财政厅关于印发&lt;海南省项目支出绩效评价管理实施办法&gt;的通知》（琼财绩〔2020〕594号）填写。</w:t>
      </w:r>
    </w:p>
    <w:p>
      <w:pPr>
        <w:spacing w:line="578"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（四）财政评价结果（如有）。</w:t>
      </w:r>
    </w:p>
    <w:p>
      <w:pPr>
        <w:spacing w:line="578"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暂无</w:t>
      </w:r>
    </w:p>
    <w:p>
      <w:pPr>
        <w:spacing w:line="57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pPr>
        <w:spacing w:line="578" w:lineRule="exact"/>
        <w:ind w:firstLine="640" w:firstLineChars="200"/>
        <w:rPr>
          <w:rFonts w:hint="eastAsia" w:ascii="楷体" w:hAnsi="楷体" w:eastAsia="楷体" w:cs="楷体"/>
          <w:bCs/>
          <w:sz w:val="32"/>
          <w:szCs w:val="32"/>
        </w:rPr>
      </w:pPr>
      <w:bookmarkStart w:id="94" w:name="_Toc32639_WPSOffice_Level2"/>
      <w:bookmarkStart w:id="95" w:name="_Toc18325_WPSOffice_Level2"/>
      <w:bookmarkStart w:id="96" w:name="_Toc23598_WPSOffice_Level2"/>
      <w:bookmarkStart w:id="97" w:name="_Toc5978_WPSOffice_Level2"/>
      <w:bookmarkStart w:id="98" w:name="_Toc15262_WPSOffice_Level2"/>
      <w:bookmarkStart w:id="99" w:name="_Toc15565_WPSOffice_Level2"/>
      <w:r>
        <w:rPr>
          <w:rFonts w:hint="eastAsia" w:ascii="楷体" w:hAnsi="楷体" w:eastAsia="楷体" w:cs="楷体"/>
          <w:bCs/>
          <w:sz w:val="32"/>
          <w:szCs w:val="32"/>
        </w:rPr>
        <w:t>（一）机关运行经费支出情况。</w:t>
      </w:r>
      <w:bookmarkEnd w:id="94"/>
      <w:bookmarkEnd w:id="95"/>
      <w:bookmarkEnd w:id="96"/>
      <w:bookmarkEnd w:id="97"/>
      <w:bookmarkEnd w:id="98"/>
      <w:bookmarkEnd w:id="99"/>
    </w:p>
    <w:p>
      <w:pPr>
        <w:spacing w:line="578" w:lineRule="exact"/>
        <w:ind w:firstLine="640" w:firstLineChars="200"/>
        <w:rPr>
          <w:rFonts w:hint="eastAsia" w:ascii="仿宋_GB2312" w:hAnsi="ˎ̥" w:eastAsia="仿宋_GB2312" w:cs="Times New Roman"/>
          <w:sz w:val="32"/>
          <w:szCs w:val="32"/>
          <w:lang w:eastAsia="zh-CN"/>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w:t>
      </w:r>
      <w:r>
        <w:rPr>
          <w:rFonts w:hint="eastAsia" w:ascii="仿宋_GB2312" w:hAnsi="ˎ̥" w:eastAsia="仿宋_GB2312"/>
          <w:sz w:val="32"/>
          <w:szCs w:val="32"/>
          <w:lang w:eastAsia="zh-CN"/>
        </w:rPr>
        <w:t>三亚市城郊人民法院</w:t>
      </w:r>
      <w:r>
        <w:rPr>
          <w:rFonts w:hint="eastAsia" w:ascii="仿宋_GB2312" w:hAnsi="ˎ̥" w:eastAsia="仿宋_GB2312"/>
          <w:sz w:val="32"/>
          <w:szCs w:val="32"/>
        </w:rPr>
        <w:t>机关运行经费</w:t>
      </w:r>
      <w:r>
        <w:rPr>
          <w:rFonts w:hint="eastAsia" w:ascii="仿宋_GB2312" w:hAnsi="ˎ̥" w:eastAsia="仿宋_GB2312"/>
          <w:sz w:val="32"/>
          <w:szCs w:val="32"/>
          <w:lang w:val="en-US" w:eastAsia="zh-CN"/>
        </w:rPr>
        <w:t>735.99</w:t>
      </w:r>
      <w:r>
        <w:rPr>
          <w:rFonts w:hint="eastAsia" w:ascii="仿宋_GB2312" w:hAnsi="ˎ̥" w:eastAsia="仿宋_GB2312"/>
          <w:sz w:val="32"/>
          <w:szCs w:val="32"/>
        </w:rPr>
        <w:t>万元，比年初预算减少</w:t>
      </w:r>
      <w:r>
        <w:rPr>
          <w:rFonts w:hint="eastAsia" w:ascii="仿宋_GB2312" w:hAnsi="ˎ̥" w:eastAsia="仿宋_GB2312"/>
          <w:sz w:val="32"/>
          <w:szCs w:val="32"/>
          <w:lang w:val="en-US" w:eastAsia="zh-CN"/>
        </w:rPr>
        <w:t>73.19</w:t>
      </w:r>
      <w:r>
        <w:rPr>
          <w:rFonts w:hint="eastAsia" w:ascii="仿宋_GB2312" w:hAnsi="ˎ̥" w:eastAsia="仿宋_GB2312"/>
          <w:sz w:val="32"/>
          <w:szCs w:val="32"/>
        </w:rPr>
        <w:t>万元，降</w:t>
      </w:r>
      <w:r>
        <w:rPr>
          <w:rFonts w:hint="eastAsia" w:ascii="仿宋_GB2312" w:hAnsi="ˎ̥" w:eastAsia="仿宋_GB2312" w:cs="Times New Roman"/>
          <w:sz w:val="32"/>
          <w:szCs w:val="32"/>
          <w:lang w:eastAsia="zh-CN"/>
        </w:rPr>
        <w:t>低</w:t>
      </w:r>
      <w:r>
        <w:rPr>
          <w:rFonts w:hint="eastAsia" w:ascii="仿宋_GB2312" w:hAnsi="ˎ̥" w:eastAsia="仿宋_GB2312" w:cs="Times New Roman"/>
          <w:sz w:val="32"/>
          <w:szCs w:val="32"/>
          <w:lang w:val="en-US" w:eastAsia="zh-CN"/>
        </w:rPr>
        <w:t>9.94</w:t>
      </w:r>
      <w:r>
        <w:rPr>
          <w:rFonts w:hint="eastAsia" w:ascii="仿宋_GB2312" w:hAnsi="ˎ̥" w:eastAsia="仿宋_GB2312" w:cs="Times New Roman"/>
          <w:sz w:val="32"/>
          <w:szCs w:val="32"/>
          <w:lang w:eastAsia="zh-CN"/>
        </w:rPr>
        <w:t>%。主要原因是：厉行节约，避免不必要的开支。</w:t>
      </w:r>
    </w:p>
    <w:p>
      <w:pPr>
        <w:spacing w:line="578" w:lineRule="exact"/>
        <w:ind w:firstLine="640" w:firstLineChars="200"/>
        <w:rPr>
          <w:rFonts w:hint="eastAsia" w:ascii="楷体" w:hAnsi="楷体" w:eastAsia="楷体" w:cs="楷体"/>
          <w:bCs/>
          <w:sz w:val="32"/>
          <w:szCs w:val="32"/>
        </w:rPr>
      </w:pPr>
      <w:bookmarkStart w:id="100" w:name="_Toc23966_WPSOffice_Level2"/>
      <w:bookmarkStart w:id="101" w:name="_Toc30383_WPSOffice_Level2"/>
      <w:bookmarkStart w:id="102" w:name="_Toc3131_WPSOffice_Level2"/>
      <w:bookmarkStart w:id="103" w:name="_Toc32689_WPSOffice_Level2"/>
      <w:bookmarkStart w:id="104" w:name="_Toc13084_WPSOffice_Level2"/>
      <w:bookmarkStart w:id="105" w:name="_Toc25333_WPSOffice_Level2"/>
      <w:r>
        <w:rPr>
          <w:rFonts w:hint="eastAsia" w:ascii="楷体" w:hAnsi="楷体" w:eastAsia="楷体" w:cs="楷体"/>
          <w:bCs/>
          <w:sz w:val="32"/>
          <w:szCs w:val="32"/>
        </w:rPr>
        <w:t>（二）政府采购支出情况。</w:t>
      </w:r>
      <w:bookmarkEnd w:id="100"/>
      <w:bookmarkEnd w:id="101"/>
      <w:bookmarkEnd w:id="102"/>
      <w:bookmarkEnd w:id="103"/>
      <w:bookmarkEnd w:id="104"/>
      <w:bookmarkEnd w:id="105"/>
    </w:p>
    <w:p>
      <w:pPr>
        <w:spacing w:line="578" w:lineRule="exact"/>
        <w:ind w:firstLine="640" w:firstLineChars="200"/>
        <w:jc w:val="left"/>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w:t>
      </w:r>
      <w:r>
        <w:rPr>
          <w:rFonts w:hint="eastAsia" w:ascii="仿宋_GB2312" w:hAnsi="ˎ̥" w:eastAsia="仿宋_GB2312"/>
          <w:sz w:val="32"/>
          <w:szCs w:val="32"/>
          <w:lang w:eastAsia="zh-CN"/>
        </w:rPr>
        <w:t>三亚市城郊人民法院</w:t>
      </w:r>
      <w:r>
        <w:rPr>
          <w:rFonts w:hint="eastAsia" w:ascii="仿宋_GB2312" w:hAnsi="ˎ̥" w:eastAsia="仿宋_GB2312"/>
          <w:sz w:val="32"/>
          <w:szCs w:val="32"/>
        </w:rPr>
        <w:t>政府采购支出总额</w:t>
      </w:r>
      <w:r>
        <w:rPr>
          <w:rFonts w:hint="eastAsia" w:ascii="仿宋_GB2312" w:hAnsi="ˎ̥" w:eastAsia="仿宋_GB2312"/>
          <w:sz w:val="32"/>
          <w:szCs w:val="32"/>
          <w:lang w:val="en-US" w:eastAsia="zh-CN"/>
        </w:rPr>
        <w:t>277.92</w:t>
      </w:r>
      <w:r>
        <w:rPr>
          <w:rFonts w:hint="eastAsia" w:ascii="仿宋_GB2312" w:hAnsi="ˎ̥" w:eastAsia="仿宋_GB2312"/>
          <w:sz w:val="32"/>
          <w:szCs w:val="32"/>
        </w:rPr>
        <w:t>万元，其中：政府采购货物支出</w:t>
      </w:r>
      <w:r>
        <w:rPr>
          <w:rFonts w:hint="eastAsia" w:ascii="仿宋_GB2312" w:hAnsi="ˎ̥" w:eastAsia="仿宋_GB2312"/>
          <w:sz w:val="32"/>
          <w:szCs w:val="32"/>
          <w:lang w:val="en-US" w:eastAsia="zh-CN"/>
        </w:rPr>
        <w:t>277.92</w:t>
      </w:r>
      <w:r>
        <w:rPr>
          <w:rFonts w:hint="eastAsia" w:ascii="仿宋_GB2312" w:hAnsi="ˎ̥" w:eastAsia="仿宋_GB2312"/>
          <w:sz w:val="32"/>
          <w:szCs w:val="32"/>
        </w:rPr>
        <w:t>万元、政府采购工程支出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万元、政府采购服务支出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万元。授予中小企业合同金额</w:t>
      </w:r>
      <w:r>
        <w:rPr>
          <w:rFonts w:hint="eastAsia" w:ascii="仿宋_GB2312" w:hAnsi="ˎ̥" w:eastAsia="仿宋_GB2312"/>
          <w:sz w:val="32"/>
          <w:szCs w:val="32"/>
          <w:lang w:val="en-US" w:eastAsia="zh-CN"/>
        </w:rPr>
        <w:t>0</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0</w:t>
      </w:r>
      <w:r>
        <w:rPr>
          <w:rFonts w:hint="eastAsia" w:ascii="仿宋_GB2312" w:hAnsi="ˎ̥" w:eastAsia="仿宋_GB2312"/>
          <w:sz w:val="32"/>
          <w:szCs w:val="32"/>
        </w:rPr>
        <w:t>%，其中：授予小微企业合同金额</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仿宋_GB2312" w:eastAsia="仿宋_GB2312" w:cs="仿宋_GB2312"/>
          <w:kern w:val="0"/>
          <w:sz w:val="32"/>
          <w:szCs w:val="32"/>
          <w:lang w:bidi="ar"/>
        </w:rPr>
        <w:t>授予中小企业合同金额</w:t>
      </w:r>
      <w:r>
        <w:rPr>
          <w:rFonts w:hint="eastAsia" w:ascii="仿宋_GB2312" w:hAnsi="仿宋_GB2312" w:eastAsia="仿宋_GB2312" w:cs="仿宋_GB2312"/>
          <w:sz w:val="32"/>
          <w:szCs w:val="32"/>
        </w:rPr>
        <w:t>的</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spacing w:line="578" w:lineRule="exact"/>
        <w:ind w:firstLine="640" w:firstLineChars="200"/>
        <w:rPr>
          <w:rFonts w:hint="eastAsia" w:ascii="楷体" w:hAnsi="楷体" w:eastAsia="楷体" w:cs="楷体"/>
          <w:bCs/>
          <w:sz w:val="32"/>
          <w:szCs w:val="32"/>
        </w:rPr>
      </w:pPr>
      <w:bookmarkStart w:id="106" w:name="_Toc6016_WPSOffice_Level2"/>
      <w:bookmarkStart w:id="107" w:name="_Toc19989_WPSOffice_Level2"/>
      <w:bookmarkStart w:id="108" w:name="_Toc15129_WPSOffice_Level2"/>
      <w:bookmarkStart w:id="109" w:name="_Toc29584_WPSOffice_Level2"/>
      <w:bookmarkStart w:id="110" w:name="_Toc527_WPSOffice_Level2"/>
      <w:bookmarkStart w:id="111" w:name="_Toc10902_WPSOffice_Level2"/>
      <w:r>
        <w:rPr>
          <w:rFonts w:hint="eastAsia" w:ascii="楷体" w:hAnsi="楷体" w:eastAsia="楷体" w:cs="楷体"/>
          <w:bCs/>
          <w:sz w:val="32"/>
          <w:szCs w:val="32"/>
        </w:rPr>
        <w:t>（三）国有资产占用情况。</w:t>
      </w:r>
      <w:bookmarkEnd w:id="106"/>
      <w:bookmarkEnd w:id="107"/>
      <w:bookmarkEnd w:id="108"/>
      <w:bookmarkEnd w:id="109"/>
      <w:bookmarkEnd w:id="110"/>
      <w:bookmarkEnd w:id="111"/>
    </w:p>
    <w:p>
      <w:pPr>
        <w:spacing w:line="578" w:lineRule="exact"/>
        <w:ind w:firstLine="640" w:firstLineChars="200"/>
        <w:rPr>
          <w:rFonts w:hint="eastAsia" w:ascii="仿宋_GB2312" w:hAnsi="ˎ̥" w:eastAsia="仿宋_GB2312"/>
          <w:sz w:val="32"/>
          <w:szCs w:val="32"/>
        </w:rPr>
      </w:pPr>
      <w:r>
        <w:rPr>
          <w:rFonts w:hint="eastAsia" w:ascii="仿宋_GB2312" w:hAnsi="ˎ̥" w:eastAsia="仿宋_GB2312"/>
          <w:bCs/>
          <w:sz w:val="32"/>
          <w:szCs w:val="32"/>
        </w:rPr>
        <w:t>截至202</w:t>
      </w:r>
      <w:r>
        <w:rPr>
          <w:rFonts w:ascii="仿宋_GB2312" w:hAnsi="ˎ̥" w:eastAsia="仿宋_GB2312"/>
          <w:bCs/>
          <w:sz w:val="32"/>
          <w:szCs w:val="32"/>
        </w:rPr>
        <w:t>3</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w:t>
      </w:r>
      <w:r>
        <w:rPr>
          <w:rFonts w:hint="eastAsia" w:ascii="仿宋_GB2312" w:hAnsi="ˎ̥" w:eastAsia="仿宋_GB2312"/>
          <w:sz w:val="32"/>
          <w:szCs w:val="32"/>
          <w:lang w:val="en-US" w:eastAsia="zh-CN"/>
        </w:rPr>
        <w:t>21566</w:t>
      </w:r>
      <w:r>
        <w:rPr>
          <w:rFonts w:hint="eastAsia" w:ascii="仿宋_GB2312" w:hAnsi="ˎ̥" w:eastAsia="仿宋_GB2312"/>
          <w:sz w:val="32"/>
          <w:szCs w:val="32"/>
        </w:rPr>
        <w:t>平方米，其中：办公用房</w:t>
      </w:r>
      <w:r>
        <w:rPr>
          <w:rFonts w:hint="eastAsia" w:ascii="仿宋_GB2312" w:hAnsi="ˎ̥" w:eastAsia="仿宋_GB2312"/>
          <w:sz w:val="32"/>
          <w:szCs w:val="32"/>
          <w:lang w:val="en-US" w:eastAsia="zh-CN"/>
        </w:rPr>
        <w:t>13166</w:t>
      </w:r>
      <w:r>
        <w:rPr>
          <w:rFonts w:hint="eastAsia" w:ascii="仿宋_GB2312" w:hAnsi="ˎ̥" w:eastAsia="仿宋_GB2312"/>
          <w:sz w:val="32"/>
          <w:szCs w:val="32"/>
        </w:rPr>
        <w:t>平方米，业务用房XX平方米，其他（不含构筑物）</w:t>
      </w:r>
      <w:r>
        <w:rPr>
          <w:rFonts w:hint="eastAsia" w:ascii="仿宋_GB2312" w:hAnsi="ˎ̥" w:eastAsia="仿宋_GB2312"/>
          <w:sz w:val="32"/>
          <w:szCs w:val="32"/>
          <w:lang w:val="en-US" w:eastAsia="zh-CN"/>
        </w:rPr>
        <w:t>8400</w:t>
      </w:r>
      <w:r>
        <w:rPr>
          <w:rFonts w:hint="eastAsia" w:ascii="仿宋_GB2312" w:hAnsi="ˎ̥" w:eastAsia="仿宋_GB2312"/>
          <w:sz w:val="32"/>
          <w:szCs w:val="32"/>
        </w:rPr>
        <w:t>平方米。</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本部门共有车辆</w:t>
      </w:r>
      <w:r>
        <w:rPr>
          <w:rFonts w:hint="eastAsia" w:ascii="仿宋_GB2312" w:hAnsi="ˎ̥" w:eastAsia="仿宋_GB2312"/>
          <w:sz w:val="32"/>
          <w:szCs w:val="32"/>
          <w:lang w:val="en-US" w:eastAsia="zh-CN"/>
        </w:rPr>
        <w:t>17</w:t>
      </w:r>
      <w:r>
        <w:rPr>
          <w:rFonts w:hint="eastAsia" w:ascii="仿宋_GB2312" w:hAnsi="ˎ̥" w:eastAsia="仿宋_GB2312"/>
          <w:sz w:val="32"/>
          <w:szCs w:val="32"/>
        </w:rPr>
        <w:t>辆，其中，</w:t>
      </w:r>
      <w:r>
        <w:rPr>
          <w:rFonts w:hint="eastAsia" w:ascii="仿宋_GB2312" w:hAnsi="ˎ̥" w:eastAsia="仿宋_GB2312"/>
          <w:sz w:val="32"/>
          <w:szCs w:val="32"/>
          <w:lang w:eastAsia="zh-CN"/>
        </w:rPr>
        <w:t>从车辆种类说明：</w:t>
      </w:r>
      <w:r>
        <w:rPr>
          <w:rFonts w:hint="eastAsia" w:ascii="仿宋_GB2312" w:hAnsi="ˎ̥" w:eastAsia="仿宋_GB2312"/>
          <w:sz w:val="32"/>
          <w:szCs w:val="32"/>
        </w:rPr>
        <w:t>从车辆种类说明：轿车</w:t>
      </w:r>
      <w:r>
        <w:rPr>
          <w:rFonts w:hint="eastAsia" w:ascii="仿宋_GB2312" w:hAnsi="ˎ̥" w:eastAsia="仿宋_GB2312"/>
          <w:sz w:val="32"/>
          <w:szCs w:val="32"/>
          <w:lang w:val="en-US" w:eastAsia="zh-CN"/>
        </w:rPr>
        <w:t>2</w:t>
      </w:r>
      <w:r>
        <w:rPr>
          <w:rFonts w:hint="eastAsia" w:ascii="仿宋_GB2312" w:hAnsi="ˎ̥" w:eastAsia="仿宋_GB2312"/>
          <w:sz w:val="32"/>
          <w:szCs w:val="32"/>
        </w:rPr>
        <w:t>辆、越野车</w:t>
      </w:r>
      <w:r>
        <w:rPr>
          <w:rFonts w:hint="eastAsia" w:ascii="仿宋_GB2312" w:hAnsi="ˎ̥" w:eastAsia="仿宋_GB2312"/>
          <w:sz w:val="32"/>
          <w:szCs w:val="32"/>
          <w:lang w:val="en-US" w:eastAsia="zh-CN"/>
        </w:rPr>
        <w:t>4</w:t>
      </w:r>
      <w:r>
        <w:rPr>
          <w:rFonts w:hint="eastAsia" w:ascii="仿宋_GB2312" w:hAnsi="ˎ̥" w:eastAsia="仿宋_GB2312"/>
          <w:sz w:val="32"/>
          <w:szCs w:val="32"/>
        </w:rPr>
        <w:t>辆、小型载客汽车</w:t>
      </w:r>
      <w:r>
        <w:rPr>
          <w:rFonts w:hint="eastAsia" w:ascii="仿宋_GB2312" w:hAnsi="ˎ̥" w:eastAsia="仿宋_GB2312"/>
          <w:sz w:val="32"/>
          <w:szCs w:val="32"/>
          <w:lang w:val="en-US" w:eastAsia="zh-CN"/>
        </w:rPr>
        <w:t>1</w:t>
      </w:r>
      <w:r>
        <w:rPr>
          <w:rFonts w:hint="eastAsia" w:ascii="仿宋_GB2312" w:hAnsi="ˎ̥" w:eastAsia="仿宋_GB2312"/>
          <w:sz w:val="32"/>
          <w:szCs w:val="32"/>
        </w:rPr>
        <w:t>辆</w:t>
      </w:r>
      <w:r>
        <w:rPr>
          <w:rFonts w:hint="eastAsia" w:ascii="仿宋_GB2312" w:hAnsi="ˎ̥" w:eastAsia="仿宋_GB2312"/>
          <w:sz w:val="32"/>
          <w:szCs w:val="32"/>
          <w:lang w:eastAsia="zh-CN"/>
        </w:rPr>
        <w:t>，其他车型</w:t>
      </w:r>
      <w:r>
        <w:rPr>
          <w:rFonts w:hint="eastAsia" w:ascii="仿宋_GB2312" w:hAnsi="ˎ̥" w:eastAsia="仿宋_GB2312"/>
          <w:sz w:val="32"/>
          <w:szCs w:val="32"/>
          <w:lang w:val="en-US" w:eastAsia="zh-CN"/>
        </w:rPr>
        <w:t>10辆</w:t>
      </w:r>
      <w:r>
        <w:rPr>
          <w:rFonts w:hint="eastAsia" w:ascii="仿宋_GB2312" w:hAnsi="ˎ̥" w:eastAsia="仿宋_GB2312"/>
          <w:sz w:val="32"/>
          <w:szCs w:val="32"/>
        </w:rPr>
        <w:t>；从车辆使用情况说明：</w:t>
      </w:r>
      <w:r>
        <w:rPr>
          <w:rFonts w:hint="eastAsia" w:ascii="仿宋_GB2312" w:hAnsi="ˎ̥" w:eastAsia="仿宋_GB2312"/>
          <w:sz w:val="32"/>
          <w:szCs w:val="32"/>
          <w:lang w:eastAsia="zh-CN"/>
        </w:rPr>
        <w:t>其他用车</w:t>
      </w:r>
      <w:r>
        <w:rPr>
          <w:rFonts w:hint="eastAsia" w:ascii="仿宋_GB2312" w:hAnsi="ˎ̥" w:eastAsia="仿宋_GB2312"/>
          <w:sz w:val="32"/>
          <w:szCs w:val="32"/>
          <w:lang w:val="en-US" w:eastAsia="zh-CN"/>
        </w:rPr>
        <w:t>17辆</w:t>
      </w:r>
      <w:r>
        <w:rPr>
          <w:rFonts w:hint="eastAsia" w:ascii="仿宋_GB2312" w:hAnsi="ˎ̥" w:eastAsia="仿宋_GB2312"/>
          <w:sz w:val="32"/>
          <w:szCs w:val="32"/>
        </w:rPr>
        <w:t>。</w:t>
      </w:r>
    </w:p>
    <w:p>
      <w:pPr>
        <w:spacing w:line="578" w:lineRule="exact"/>
        <w:ind w:firstLine="640" w:firstLineChars="200"/>
        <w:rPr>
          <w:rFonts w:hint="eastAsia" w:eastAsia="仿宋_GB2312"/>
          <w:lang w:val="en-US" w:eastAsia="zh-CN"/>
        </w:rPr>
      </w:pPr>
      <w:r>
        <w:rPr>
          <w:rFonts w:hint="eastAsia" w:ascii="仿宋_GB2312" w:hAnsi="ˎ̥" w:eastAsia="仿宋_GB2312"/>
          <w:sz w:val="32"/>
          <w:szCs w:val="32"/>
        </w:rPr>
        <w:t>单位价值50万元（含）以上通用设备0台（套），单价100万元（含）以上专用设备0台（套）。</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年末在建工程</w:t>
      </w:r>
      <w:r>
        <w:rPr>
          <w:rFonts w:hint="eastAsia" w:ascii="仿宋_GB2312" w:hAnsi="ˎ̥" w:eastAsia="仿宋_GB2312"/>
          <w:sz w:val="32"/>
          <w:szCs w:val="32"/>
          <w:lang w:val="en-US" w:eastAsia="zh-CN"/>
        </w:rPr>
        <w:t>5344.77</w:t>
      </w:r>
      <w:r>
        <w:rPr>
          <w:rFonts w:hint="eastAsia" w:ascii="仿宋_GB2312" w:hAnsi="ˎ̥" w:eastAsia="仿宋_GB2312"/>
          <w:sz w:val="32"/>
          <w:szCs w:val="32"/>
        </w:rPr>
        <w:t>万元。</w:t>
      </w:r>
    </w:p>
    <w:p>
      <w:pPr>
        <w:spacing w:line="578" w:lineRule="exact"/>
        <w:jc w:val="center"/>
        <w:rPr>
          <w:rFonts w:hint="eastAsia" w:ascii="黑体" w:hAnsi="ˎ̥" w:eastAsia="黑体"/>
          <w:sz w:val="32"/>
          <w:szCs w:val="32"/>
        </w:rPr>
      </w:pPr>
      <w:bookmarkStart w:id="112" w:name="_Toc8874_WPSOffice_Level1"/>
      <w:bookmarkStart w:id="113" w:name="_Toc17580_WPSOffice_Level1"/>
      <w:bookmarkStart w:id="114" w:name="_Toc11039_WPSOffice_Level1"/>
      <w:bookmarkStart w:id="115" w:name="_Toc4398_WPSOffice_Level1"/>
      <w:bookmarkStart w:id="116" w:name="_Toc15425_WPSOffice_Level1"/>
      <w:bookmarkStart w:id="117" w:name="_Toc8808_WPSOffice_Level1"/>
    </w:p>
    <w:p>
      <w:pPr>
        <w:spacing w:line="578" w:lineRule="exact"/>
        <w:jc w:val="center"/>
        <w:rPr>
          <w:rFonts w:hint="eastAsia" w:ascii="黑体" w:hAnsi="ˎ̥" w:eastAsia="黑体"/>
          <w:sz w:val="32"/>
          <w:szCs w:val="32"/>
        </w:rPr>
      </w:pPr>
      <w:r>
        <w:rPr>
          <w:rFonts w:hint="eastAsia" w:ascii="黑体" w:hAnsi="ˎ̥" w:eastAsia="黑体"/>
          <w:sz w:val="32"/>
          <w:szCs w:val="32"/>
        </w:rPr>
        <w:t>第四部分  名词解释</w:t>
      </w:r>
      <w:bookmarkEnd w:id="112"/>
      <w:bookmarkEnd w:id="113"/>
      <w:bookmarkEnd w:id="114"/>
      <w:bookmarkEnd w:id="115"/>
      <w:bookmarkEnd w:id="116"/>
      <w:bookmarkEnd w:id="117"/>
    </w:p>
    <w:p>
      <w:pPr>
        <w:spacing w:line="578" w:lineRule="exact"/>
        <w:jc w:val="center"/>
        <w:rPr>
          <w:rFonts w:hint="eastAsia" w:ascii="黑体" w:hAnsi="ˎ̥" w:eastAsia="黑体"/>
          <w:sz w:val="32"/>
          <w:szCs w:val="32"/>
        </w:rPr>
      </w:pPr>
    </w:p>
    <w:p>
      <w:pPr>
        <w:numPr>
          <w:ilvl w:val="0"/>
          <w:numId w:val="5"/>
        </w:num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spacing w:line="578" w:lineRule="exact"/>
        <w:ind w:firstLine="645"/>
        <w:rPr>
          <w:rFonts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spacing w:line="578" w:lineRule="exact"/>
        <w:ind w:firstLine="645"/>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pPr>
        <w:spacing w:line="578" w:lineRule="exact"/>
        <w:ind w:firstLine="645"/>
        <w:rPr>
          <w:rFonts w:ascii="仿宋_GB2312" w:hAnsi="ˎ̥" w:eastAsia="仿宋_GB2312"/>
          <w:sz w:val="32"/>
          <w:szCs w:val="32"/>
        </w:rPr>
      </w:pPr>
      <w:r>
        <w:rPr>
          <w:rFonts w:hint="eastAsia" w:ascii="仿宋_GB2312" w:hAnsi="ˎ̥" w:eastAsia="仿宋_GB2312"/>
          <w:sz w:val="32"/>
          <w:szCs w:val="32"/>
        </w:rPr>
        <w:t>XXXX（类）XXXX（款）XXXX（项），</w:t>
      </w:r>
      <w:r>
        <w:rPr>
          <w:rFonts w:ascii="仿宋_GB2312" w:hAnsi="ˎ̥" w:eastAsia="仿宋_GB2312"/>
          <w:sz w:val="32"/>
          <w:szCs w:val="32"/>
        </w:rPr>
        <w:t>……</w:t>
      </w:r>
      <w:r>
        <w:rPr>
          <w:rFonts w:hint="eastAsia" w:ascii="仿宋_GB2312" w:hAnsi="ˎ̥" w:eastAsia="仿宋_GB2312"/>
          <w:sz w:val="32"/>
          <w:szCs w:val="32"/>
        </w:rPr>
        <w:t>；</w:t>
      </w:r>
    </w:p>
    <w:p>
      <w:pPr>
        <w:spacing w:line="578" w:lineRule="exact"/>
        <w:ind w:firstLine="645"/>
        <w:rPr>
          <w:rFonts w:hint="eastAsia" w:ascii="仿宋_GB2312" w:hAnsi="ˎ̥" w:eastAsia="仿宋_GB2312"/>
          <w:sz w:val="32"/>
          <w:szCs w:val="32"/>
        </w:rPr>
      </w:pPr>
      <w:r>
        <w:rPr>
          <w:rFonts w:hint="eastAsia" w:ascii="仿宋_GB2312" w:hAnsi="ˎ̥" w:eastAsia="仿宋_GB2312"/>
          <w:sz w:val="32"/>
          <w:szCs w:val="32"/>
        </w:rPr>
        <w:t>XXXX（类）XXXX（款）XXXX（项），</w:t>
      </w:r>
      <w:r>
        <w:rPr>
          <w:rFonts w:ascii="仿宋_GB2312" w:hAnsi="ˎ̥" w:eastAsia="仿宋_GB2312"/>
          <w:sz w:val="32"/>
          <w:szCs w:val="32"/>
        </w:rPr>
        <w:t>……</w:t>
      </w:r>
    </w:p>
    <w:p>
      <w:pPr>
        <w:spacing w:line="578" w:lineRule="exact"/>
        <w:ind w:firstLine="645"/>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支出功能分类的名词解释，各部门（单位）根据实际支出情况填列，可参阅财政部印发的《202</w:t>
      </w:r>
      <w:r>
        <w:rPr>
          <w:rFonts w:ascii="仿宋_GB2312" w:hAnsi="ˎ̥" w:eastAsia="仿宋_GB2312"/>
          <w:sz w:val="32"/>
          <w:szCs w:val="32"/>
        </w:rPr>
        <w:t>3</w:t>
      </w:r>
      <w:r>
        <w:rPr>
          <w:rFonts w:hint="eastAsia" w:ascii="仿宋_GB2312" w:hAnsi="ˎ̥" w:eastAsia="仿宋_GB2312"/>
          <w:sz w:val="32"/>
          <w:szCs w:val="32"/>
        </w:rPr>
        <w:t>年政府收支分类科目》）</w:t>
      </w:r>
    </w:p>
    <w:p>
      <w:pPr>
        <w:spacing w:line="578" w:lineRule="exact"/>
      </w:pPr>
    </w:p>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ejaVu Sans">
    <w:altName w:val="Times New Roman"/>
    <w:panose1 w:val="00000000000000000000"/>
    <w:charset w:val="00"/>
    <w:family w:val="modern"/>
    <w:pitch w:val="default"/>
    <w:sig w:usb0="00000000" w:usb1="00000000" w:usb2="00000008" w:usb3="00000000" w:csb0="000001FF" w:csb1="00000000"/>
  </w:font>
  <w:font w:name="Songti SC">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34045"/>
    <w:multiLevelType w:val="singleLevel"/>
    <w:tmpl w:val="93334045"/>
    <w:lvl w:ilvl="0" w:tentative="0">
      <w:start w:val="2"/>
      <w:numFmt w:val="chineseCounting"/>
      <w:suff w:val="nothing"/>
      <w:lvlText w:val="（%1）"/>
      <w:lvlJc w:val="left"/>
      <w:rPr>
        <w:rFonts w:hint="eastAsia"/>
      </w:rPr>
    </w:lvl>
  </w:abstractNum>
  <w:abstractNum w:abstractNumId="1">
    <w:nsid w:val="AFFC2DCC"/>
    <w:multiLevelType w:val="singleLevel"/>
    <w:tmpl w:val="AFFC2DCC"/>
    <w:lvl w:ilvl="0" w:tentative="0">
      <w:start w:val="1"/>
      <w:numFmt w:val="chineseCounting"/>
      <w:suff w:val="nothing"/>
      <w:lvlText w:val="%1、"/>
      <w:lvlJc w:val="left"/>
      <w:rPr>
        <w:rFonts w:hint="eastAsia"/>
      </w:rPr>
    </w:lvl>
  </w:abstractNum>
  <w:abstractNum w:abstractNumId="2">
    <w:nsid w:val="366CC27C"/>
    <w:multiLevelType w:val="singleLevel"/>
    <w:tmpl w:val="366CC27C"/>
    <w:lvl w:ilvl="0" w:tentative="0">
      <w:start w:val="1"/>
      <w:numFmt w:val="chineseCounting"/>
      <w:suff w:val="nothing"/>
      <w:lvlText w:val="%1、"/>
      <w:lvlJc w:val="left"/>
      <w:rPr>
        <w:rFonts w:hint="eastAsia"/>
      </w:rPr>
    </w:lvl>
  </w:abstractNum>
  <w:abstractNum w:abstractNumId="3">
    <w:nsid w:val="41A3AB3B"/>
    <w:multiLevelType w:val="singleLevel"/>
    <w:tmpl w:val="41A3AB3B"/>
    <w:lvl w:ilvl="0" w:tentative="0">
      <w:start w:val="1"/>
      <w:numFmt w:val="chineseCounting"/>
      <w:suff w:val="nothing"/>
      <w:lvlText w:val="%1、"/>
      <w:lvlJc w:val="left"/>
      <w:rPr>
        <w:rFonts w:hint="eastAsia"/>
      </w:rPr>
    </w:lvl>
  </w:abstractNum>
  <w:abstractNum w:abstractNumId="4">
    <w:nsid w:val="72109F8D"/>
    <w:multiLevelType w:val="singleLevel"/>
    <w:tmpl w:val="72109F8D"/>
    <w:lvl w:ilvl="0" w:tentative="0">
      <w:start w:val="7"/>
      <w:numFmt w:val="chineseCounting"/>
      <w:suff w:val="nothing"/>
      <w:lvlText w:val="%1、"/>
      <w:lvlJc w:val="left"/>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532DE"/>
    <w:rsid w:val="008202AE"/>
    <w:rsid w:val="07F721D6"/>
    <w:rsid w:val="171F3243"/>
    <w:rsid w:val="1C4C5CD4"/>
    <w:rsid w:val="2BCF7E97"/>
    <w:rsid w:val="415272F8"/>
    <w:rsid w:val="41937472"/>
    <w:rsid w:val="665532DE"/>
    <w:rsid w:val="76F25F52"/>
    <w:rsid w:val="77652772"/>
    <w:rsid w:val="78060712"/>
    <w:rsid w:val="7EB97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360" w:lineRule="auto"/>
      <w:outlineLvl w:val="1"/>
    </w:pPr>
    <w:rPr>
      <w:rFonts w:ascii="DejaVu Sans" w:hAnsi="DejaVu Sans" w:eastAsia="Songti SC"/>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qFormat/>
    <w:uiPriority w:val="0"/>
  </w:style>
  <w:style w:type="paragraph" w:customStyle="1" w:styleId="9">
    <w:name w:val="WPSOffice手动目录 1"/>
    <w:qFormat/>
    <w:uiPriority w:val="0"/>
    <w:rPr>
      <w:rFonts w:ascii="Times New Roman" w:hAnsi="Times New Roman" w:eastAsia="宋体" w:cs="Times New Roman"/>
      <w:lang w:val="en-US" w:eastAsia="zh-CN" w:bidi="ar-SA"/>
    </w:rPr>
  </w:style>
  <w:style w:type="paragraph" w:customStyle="1" w:styleId="10">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2024-09-02T00:25:00Z</dcterms:created>
  <dc:creator>Administrator</dc:creator>
  <cp:lastModifiedBy>Administrator</cp:lastModifiedBy>
  <dcterms:modified xsi:type="dcterms:W3CDTF">2024-09-04T02:26:54Z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